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EA39" w14:textId="77777777" w:rsidR="005B49C8" w:rsidRPr="005B49C8" w:rsidRDefault="005B49C8">
      <w:pPr>
        <w:rPr>
          <w:b/>
          <w:u w:val="single"/>
        </w:rPr>
      </w:pPr>
      <w:r w:rsidRPr="005B49C8">
        <w:rPr>
          <w:b/>
          <w:u w:val="single"/>
        </w:rPr>
        <w:t>Question 1: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5878"/>
        <w:gridCol w:w="1321"/>
        <w:gridCol w:w="1171"/>
      </w:tblGrid>
      <w:tr w:rsidR="005B49C8" w:rsidRPr="005B49C8" w14:paraId="48053F51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2F96753C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3A1C412F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68FD7F5D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600C0413" w14:textId="77777777" w:rsidR="005B49C8" w:rsidRPr="005B49C8" w:rsidRDefault="005B49C8"/>
        </w:tc>
      </w:tr>
      <w:tr w:rsidR="005B49C8" w:rsidRPr="005B49C8" w14:paraId="1773EA32" w14:textId="77777777" w:rsidTr="004D44E4">
        <w:trPr>
          <w:trHeight w:val="312"/>
        </w:trPr>
        <w:tc>
          <w:tcPr>
            <w:tcW w:w="8640" w:type="dxa"/>
            <w:gridSpan w:val="4"/>
            <w:noWrap/>
            <w:hideMark/>
          </w:tcPr>
          <w:p w14:paraId="0C5AEE48" w14:textId="77777777" w:rsidR="005B49C8" w:rsidRPr="005B49C8" w:rsidRDefault="005B49C8">
            <w:pPr>
              <w:rPr>
                <w:b/>
                <w:bCs/>
              </w:rPr>
            </w:pPr>
            <w:r w:rsidRPr="005B49C8">
              <w:rPr>
                <w:b/>
                <w:bCs/>
              </w:rPr>
              <w:t>Shantz Corporation has provided the following data concerning last month's operations.</w:t>
            </w:r>
          </w:p>
        </w:tc>
      </w:tr>
      <w:tr w:rsidR="005B49C8" w:rsidRPr="005B49C8" w14:paraId="52668BC5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54EC2FD1" w14:textId="77777777" w:rsidR="005B49C8" w:rsidRPr="005B49C8" w:rsidRDefault="005B49C8">
            <w:pPr>
              <w:rPr>
                <w:b/>
                <w:bCs/>
              </w:rPr>
            </w:pPr>
          </w:p>
        </w:tc>
        <w:tc>
          <w:tcPr>
            <w:tcW w:w="5878" w:type="dxa"/>
            <w:noWrap/>
            <w:hideMark/>
          </w:tcPr>
          <w:p w14:paraId="03F352D9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28BE1438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1F1A6377" w14:textId="77777777" w:rsidR="005B49C8" w:rsidRPr="005B49C8" w:rsidRDefault="005B49C8"/>
        </w:tc>
      </w:tr>
      <w:tr w:rsidR="005B49C8" w:rsidRPr="005B49C8" w14:paraId="365F2F82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430CDF9B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5FEB0B62" w14:textId="77777777" w:rsidR="005B49C8" w:rsidRPr="005B49C8" w:rsidRDefault="005B49C8">
            <w:r w:rsidRPr="005B49C8">
              <w:t>Purchases of raw materials</w:t>
            </w:r>
          </w:p>
        </w:tc>
        <w:tc>
          <w:tcPr>
            <w:tcW w:w="1321" w:type="dxa"/>
            <w:noWrap/>
            <w:hideMark/>
          </w:tcPr>
          <w:p w14:paraId="572092C8" w14:textId="77777777" w:rsidR="005B49C8" w:rsidRPr="005B49C8" w:rsidRDefault="00D10AC5" w:rsidP="005B49C8">
            <w:r>
              <w:t>$43</w:t>
            </w:r>
            <w:r w:rsidR="005B49C8" w:rsidRPr="005B49C8">
              <w:t xml:space="preserve">,000 </w:t>
            </w:r>
          </w:p>
        </w:tc>
        <w:tc>
          <w:tcPr>
            <w:tcW w:w="1171" w:type="dxa"/>
            <w:noWrap/>
            <w:hideMark/>
          </w:tcPr>
          <w:p w14:paraId="17ABD6E1" w14:textId="77777777" w:rsidR="005B49C8" w:rsidRPr="005B49C8" w:rsidRDefault="005B49C8" w:rsidP="005B49C8"/>
        </w:tc>
      </w:tr>
      <w:tr w:rsidR="005B49C8" w:rsidRPr="005B49C8" w14:paraId="3FEFDEF4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7CAE69C9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4A1D42DF" w14:textId="77777777" w:rsidR="005B49C8" w:rsidRPr="005B49C8" w:rsidRDefault="005B49C8">
            <w:r w:rsidRPr="005B49C8">
              <w:t>Indirect raw materials included in manufacturing overhead</w:t>
            </w:r>
          </w:p>
        </w:tc>
        <w:tc>
          <w:tcPr>
            <w:tcW w:w="1321" w:type="dxa"/>
            <w:noWrap/>
            <w:hideMark/>
          </w:tcPr>
          <w:p w14:paraId="5F9B52C8" w14:textId="6DDA4863" w:rsidR="005B49C8" w:rsidRPr="005B49C8" w:rsidRDefault="00D10AC5" w:rsidP="005B49C8">
            <w:r>
              <w:t>$</w:t>
            </w:r>
            <w:r w:rsidR="005D189F">
              <w:t>8</w:t>
            </w:r>
            <w:r w:rsidR="005B49C8" w:rsidRPr="005B49C8">
              <w:t>,</w:t>
            </w:r>
            <w:r w:rsidR="005D189F">
              <w:t>5</w:t>
            </w:r>
            <w:r w:rsidR="005B49C8" w:rsidRPr="005B49C8">
              <w:t xml:space="preserve">00 </w:t>
            </w:r>
          </w:p>
        </w:tc>
        <w:tc>
          <w:tcPr>
            <w:tcW w:w="1171" w:type="dxa"/>
            <w:noWrap/>
            <w:hideMark/>
          </w:tcPr>
          <w:p w14:paraId="64C3A077" w14:textId="77777777" w:rsidR="005B49C8" w:rsidRPr="005B49C8" w:rsidRDefault="005B49C8" w:rsidP="005B49C8"/>
        </w:tc>
      </w:tr>
      <w:tr w:rsidR="005B49C8" w:rsidRPr="005B49C8" w14:paraId="5DA1B2B9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70491BCB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3FBC1CD4" w14:textId="77777777" w:rsidR="005B49C8" w:rsidRPr="005B49C8" w:rsidRDefault="005B49C8">
            <w:r w:rsidRPr="005B49C8">
              <w:t>Direct labor cost</w:t>
            </w:r>
          </w:p>
        </w:tc>
        <w:tc>
          <w:tcPr>
            <w:tcW w:w="1321" w:type="dxa"/>
            <w:noWrap/>
            <w:hideMark/>
          </w:tcPr>
          <w:p w14:paraId="2EAAC204" w14:textId="77777777" w:rsidR="005B49C8" w:rsidRPr="005B49C8" w:rsidRDefault="005B49C8" w:rsidP="005B49C8">
            <w:r w:rsidRPr="005B49C8">
              <w:t xml:space="preserve">$58,000 </w:t>
            </w:r>
          </w:p>
        </w:tc>
        <w:tc>
          <w:tcPr>
            <w:tcW w:w="1171" w:type="dxa"/>
            <w:noWrap/>
            <w:hideMark/>
          </w:tcPr>
          <w:p w14:paraId="67E1D47D" w14:textId="77777777" w:rsidR="005B49C8" w:rsidRPr="005B49C8" w:rsidRDefault="005B49C8" w:rsidP="005B49C8"/>
        </w:tc>
      </w:tr>
      <w:tr w:rsidR="005B49C8" w:rsidRPr="005B49C8" w14:paraId="49D2B172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1F5251F4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341EC2F3" w14:textId="77777777" w:rsidR="005B49C8" w:rsidRPr="005B49C8" w:rsidRDefault="005B49C8">
            <w:r w:rsidRPr="005B49C8">
              <w:t xml:space="preserve">Manufacturing overhead cost </w:t>
            </w:r>
            <w:r w:rsidR="00D10AC5" w:rsidRPr="005B49C8">
              <w:t>incurred</w:t>
            </w:r>
          </w:p>
        </w:tc>
        <w:tc>
          <w:tcPr>
            <w:tcW w:w="1321" w:type="dxa"/>
            <w:noWrap/>
            <w:hideMark/>
          </w:tcPr>
          <w:p w14:paraId="1B29BECB" w14:textId="77777777" w:rsidR="005B49C8" w:rsidRPr="005B49C8" w:rsidRDefault="005B49C8" w:rsidP="005B49C8">
            <w:r w:rsidRPr="005B49C8">
              <w:t xml:space="preserve">$99,000 </w:t>
            </w:r>
          </w:p>
        </w:tc>
        <w:tc>
          <w:tcPr>
            <w:tcW w:w="1171" w:type="dxa"/>
            <w:noWrap/>
            <w:hideMark/>
          </w:tcPr>
          <w:p w14:paraId="2B893568" w14:textId="77777777" w:rsidR="005B49C8" w:rsidRPr="005B49C8" w:rsidRDefault="005B49C8" w:rsidP="005B49C8"/>
        </w:tc>
      </w:tr>
      <w:tr w:rsidR="005B49C8" w:rsidRPr="005B49C8" w14:paraId="7697FC0B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32EE3403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774E2982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0C9B58F1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3EAFBAA4" w14:textId="77777777" w:rsidR="005B49C8" w:rsidRPr="005B49C8" w:rsidRDefault="005B49C8"/>
        </w:tc>
      </w:tr>
      <w:tr w:rsidR="005B49C8" w:rsidRPr="005B49C8" w14:paraId="56B28C7A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3FAD235D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703279E1" w14:textId="77777777" w:rsidR="005B49C8" w:rsidRPr="005B49C8" w:rsidRDefault="005B49C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Inven</w:t>
            </w:r>
            <w:r w:rsidRPr="005B49C8">
              <w:rPr>
                <w:b/>
                <w:bCs/>
                <w:u w:val="single"/>
              </w:rPr>
              <w:t>tories:</w:t>
            </w:r>
          </w:p>
        </w:tc>
        <w:tc>
          <w:tcPr>
            <w:tcW w:w="1321" w:type="dxa"/>
            <w:noWrap/>
            <w:hideMark/>
          </w:tcPr>
          <w:p w14:paraId="5B7A976F" w14:textId="77777777" w:rsidR="005B49C8" w:rsidRPr="005B49C8" w:rsidRDefault="005B49C8">
            <w:pPr>
              <w:rPr>
                <w:b/>
                <w:bCs/>
                <w:u w:val="single"/>
              </w:rPr>
            </w:pPr>
            <w:r w:rsidRPr="005B49C8">
              <w:rPr>
                <w:b/>
                <w:bCs/>
                <w:u w:val="single"/>
              </w:rPr>
              <w:t>Beginning</w:t>
            </w:r>
          </w:p>
        </w:tc>
        <w:tc>
          <w:tcPr>
            <w:tcW w:w="1171" w:type="dxa"/>
            <w:noWrap/>
            <w:hideMark/>
          </w:tcPr>
          <w:p w14:paraId="09107058" w14:textId="77777777" w:rsidR="005B49C8" w:rsidRPr="005B49C8" w:rsidRDefault="005B49C8" w:rsidP="005B49C8">
            <w:pPr>
              <w:rPr>
                <w:b/>
                <w:bCs/>
                <w:u w:val="single"/>
              </w:rPr>
            </w:pPr>
            <w:r w:rsidRPr="005B49C8">
              <w:rPr>
                <w:b/>
                <w:bCs/>
                <w:u w:val="single"/>
              </w:rPr>
              <w:t>Ending</w:t>
            </w:r>
          </w:p>
        </w:tc>
      </w:tr>
      <w:tr w:rsidR="005B49C8" w:rsidRPr="005B49C8" w14:paraId="214EBF1E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1AC3FA1E" w14:textId="77777777" w:rsidR="005B49C8" w:rsidRPr="005B49C8" w:rsidRDefault="005B49C8" w:rsidP="005B49C8">
            <w:pPr>
              <w:rPr>
                <w:b/>
                <w:bCs/>
                <w:u w:val="single"/>
              </w:rPr>
            </w:pPr>
          </w:p>
        </w:tc>
        <w:tc>
          <w:tcPr>
            <w:tcW w:w="5878" w:type="dxa"/>
            <w:noWrap/>
            <w:hideMark/>
          </w:tcPr>
          <w:p w14:paraId="6B5F038C" w14:textId="77777777" w:rsidR="005B49C8" w:rsidRPr="005B49C8" w:rsidRDefault="005B49C8">
            <w:r w:rsidRPr="005B49C8">
              <w:t>Raw materials inventory</w:t>
            </w:r>
          </w:p>
        </w:tc>
        <w:tc>
          <w:tcPr>
            <w:tcW w:w="1321" w:type="dxa"/>
            <w:noWrap/>
            <w:hideMark/>
          </w:tcPr>
          <w:p w14:paraId="371809F8" w14:textId="77777777" w:rsidR="005B49C8" w:rsidRPr="005B49C8" w:rsidRDefault="005B49C8" w:rsidP="005B49C8">
            <w:r w:rsidRPr="005B49C8">
              <w:t xml:space="preserve">$12,000 </w:t>
            </w:r>
          </w:p>
        </w:tc>
        <w:tc>
          <w:tcPr>
            <w:tcW w:w="1171" w:type="dxa"/>
            <w:noWrap/>
            <w:hideMark/>
          </w:tcPr>
          <w:p w14:paraId="30434F87" w14:textId="77777777" w:rsidR="005B49C8" w:rsidRPr="005B49C8" w:rsidRDefault="005B49C8" w:rsidP="005B49C8">
            <w:r w:rsidRPr="005B49C8">
              <w:t xml:space="preserve">$16,000 </w:t>
            </w:r>
          </w:p>
        </w:tc>
      </w:tr>
      <w:tr w:rsidR="005B49C8" w:rsidRPr="005B49C8" w14:paraId="34F4652E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6506A9E7" w14:textId="77777777" w:rsidR="005B49C8" w:rsidRPr="005B49C8" w:rsidRDefault="005B49C8" w:rsidP="005B49C8"/>
        </w:tc>
        <w:tc>
          <w:tcPr>
            <w:tcW w:w="5878" w:type="dxa"/>
            <w:noWrap/>
            <w:hideMark/>
          </w:tcPr>
          <w:p w14:paraId="4BB0F21C" w14:textId="77777777" w:rsidR="005B49C8" w:rsidRPr="005B49C8" w:rsidRDefault="005B49C8">
            <w:r w:rsidRPr="005B49C8">
              <w:t>Work in process inventory</w:t>
            </w:r>
          </w:p>
        </w:tc>
        <w:tc>
          <w:tcPr>
            <w:tcW w:w="1321" w:type="dxa"/>
            <w:noWrap/>
            <w:hideMark/>
          </w:tcPr>
          <w:p w14:paraId="5E450B4A" w14:textId="77777777" w:rsidR="005B49C8" w:rsidRPr="005B49C8" w:rsidRDefault="005B49C8" w:rsidP="005B49C8">
            <w:r w:rsidRPr="005B49C8">
              <w:t xml:space="preserve">$48,000 </w:t>
            </w:r>
          </w:p>
        </w:tc>
        <w:tc>
          <w:tcPr>
            <w:tcW w:w="1171" w:type="dxa"/>
            <w:noWrap/>
            <w:hideMark/>
          </w:tcPr>
          <w:p w14:paraId="19CEFE09" w14:textId="77777777" w:rsidR="005B49C8" w:rsidRPr="005B49C8" w:rsidRDefault="005B49C8" w:rsidP="005B49C8">
            <w:r w:rsidRPr="005B49C8">
              <w:t xml:space="preserve">$53,000 </w:t>
            </w:r>
          </w:p>
        </w:tc>
      </w:tr>
      <w:tr w:rsidR="005B49C8" w:rsidRPr="005B49C8" w14:paraId="1F671ED1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1EDA5B3F" w14:textId="77777777" w:rsidR="005B49C8" w:rsidRPr="005B49C8" w:rsidRDefault="005B49C8" w:rsidP="005B49C8"/>
        </w:tc>
        <w:tc>
          <w:tcPr>
            <w:tcW w:w="5878" w:type="dxa"/>
            <w:noWrap/>
            <w:hideMark/>
          </w:tcPr>
          <w:p w14:paraId="39EB48F1" w14:textId="77777777" w:rsidR="005B49C8" w:rsidRPr="005B49C8" w:rsidRDefault="005B49C8">
            <w:r w:rsidRPr="005B49C8">
              <w:t>Finished goods inventory</w:t>
            </w:r>
          </w:p>
        </w:tc>
        <w:tc>
          <w:tcPr>
            <w:tcW w:w="1321" w:type="dxa"/>
            <w:noWrap/>
            <w:hideMark/>
          </w:tcPr>
          <w:p w14:paraId="125A2337" w14:textId="77777777" w:rsidR="005B49C8" w:rsidRPr="005B49C8" w:rsidRDefault="005B49C8" w:rsidP="005B49C8">
            <w:r w:rsidRPr="005B49C8">
              <w:t xml:space="preserve">$41,000 </w:t>
            </w:r>
          </w:p>
        </w:tc>
        <w:tc>
          <w:tcPr>
            <w:tcW w:w="1171" w:type="dxa"/>
            <w:noWrap/>
            <w:hideMark/>
          </w:tcPr>
          <w:p w14:paraId="2705AA68" w14:textId="77777777" w:rsidR="005B49C8" w:rsidRPr="005B49C8" w:rsidRDefault="005B49C8" w:rsidP="005B49C8">
            <w:r w:rsidRPr="005B49C8">
              <w:t xml:space="preserve">$47,000 </w:t>
            </w:r>
          </w:p>
        </w:tc>
      </w:tr>
      <w:tr w:rsidR="005B49C8" w:rsidRPr="005B49C8" w14:paraId="55240FB0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5215F2E5" w14:textId="77777777" w:rsidR="005B49C8" w:rsidRPr="005B49C8" w:rsidRDefault="005B49C8" w:rsidP="005B49C8"/>
        </w:tc>
        <w:tc>
          <w:tcPr>
            <w:tcW w:w="5878" w:type="dxa"/>
            <w:noWrap/>
            <w:hideMark/>
          </w:tcPr>
          <w:p w14:paraId="2F141329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302FC8D0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3437A0E4" w14:textId="77777777" w:rsidR="005B49C8" w:rsidRPr="005B49C8" w:rsidRDefault="005B49C8"/>
        </w:tc>
      </w:tr>
      <w:tr w:rsidR="005B49C8" w:rsidRPr="005B49C8" w14:paraId="62204D82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637AAA01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73D8C4BF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5E00D22A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608B7BFC" w14:textId="77777777" w:rsidR="005B49C8" w:rsidRPr="005B49C8" w:rsidRDefault="005B49C8"/>
        </w:tc>
      </w:tr>
      <w:tr w:rsidR="005B49C8" w:rsidRPr="005B49C8" w14:paraId="39A34C41" w14:textId="77777777" w:rsidTr="004D44E4">
        <w:trPr>
          <w:trHeight w:val="312"/>
        </w:trPr>
        <w:tc>
          <w:tcPr>
            <w:tcW w:w="270" w:type="dxa"/>
            <w:noWrap/>
            <w:hideMark/>
          </w:tcPr>
          <w:p w14:paraId="0C4A61B3" w14:textId="77777777" w:rsidR="005B49C8" w:rsidRPr="005B49C8" w:rsidRDefault="005B49C8"/>
        </w:tc>
        <w:tc>
          <w:tcPr>
            <w:tcW w:w="5878" w:type="dxa"/>
            <w:noWrap/>
            <w:hideMark/>
          </w:tcPr>
          <w:p w14:paraId="1C92D1F7" w14:textId="77777777" w:rsidR="005B49C8" w:rsidRPr="005B49C8" w:rsidRDefault="005B49C8"/>
        </w:tc>
        <w:tc>
          <w:tcPr>
            <w:tcW w:w="1321" w:type="dxa"/>
            <w:noWrap/>
            <w:hideMark/>
          </w:tcPr>
          <w:p w14:paraId="478DC493" w14:textId="77777777" w:rsidR="005B49C8" w:rsidRPr="005B49C8" w:rsidRDefault="005B49C8"/>
        </w:tc>
        <w:tc>
          <w:tcPr>
            <w:tcW w:w="1171" w:type="dxa"/>
            <w:noWrap/>
            <w:hideMark/>
          </w:tcPr>
          <w:p w14:paraId="24BB1F0F" w14:textId="77777777" w:rsidR="005B49C8" w:rsidRPr="005B49C8" w:rsidRDefault="005B49C8"/>
        </w:tc>
      </w:tr>
      <w:tr w:rsidR="005B49C8" w:rsidRPr="005B49C8" w14:paraId="7CA06425" w14:textId="77777777" w:rsidTr="004D44E4">
        <w:trPr>
          <w:trHeight w:val="312"/>
        </w:trPr>
        <w:tc>
          <w:tcPr>
            <w:tcW w:w="6148" w:type="dxa"/>
            <w:gridSpan w:val="2"/>
            <w:noWrap/>
            <w:hideMark/>
          </w:tcPr>
          <w:p w14:paraId="48B1303B" w14:textId="77777777" w:rsidR="005B49C8" w:rsidRPr="005B49C8" w:rsidRDefault="005B49C8">
            <w:pPr>
              <w:rPr>
                <w:b/>
                <w:bCs/>
              </w:rPr>
            </w:pPr>
            <w:r w:rsidRPr="005B49C8">
              <w:rPr>
                <w:b/>
                <w:bCs/>
              </w:rPr>
              <w:t>Required:</w:t>
            </w:r>
          </w:p>
        </w:tc>
        <w:tc>
          <w:tcPr>
            <w:tcW w:w="1321" w:type="dxa"/>
            <w:noWrap/>
            <w:hideMark/>
          </w:tcPr>
          <w:p w14:paraId="5094205F" w14:textId="77777777" w:rsidR="005B49C8" w:rsidRPr="005B49C8" w:rsidRDefault="005B49C8">
            <w:pPr>
              <w:rPr>
                <w:b/>
                <w:bCs/>
              </w:rPr>
            </w:pPr>
          </w:p>
        </w:tc>
        <w:tc>
          <w:tcPr>
            <w:tcW w:w="1171" w:type="dxa"/>
            <w:noWrap/>
            <w:hideMark/>
          </w:tcPr>
          <w:p w14:paraId="5DAACDA7" w14:textId="77777777" w:rsidR="005B49C8" w:rsidRPr="005B49C8" w:rsidRDefault="005B49C8"/>
        </w:tc>
      </w:tr>
      <w:tr w:rsidR="005B49C8" w:rsidRPr="005B49C8" w14:paraId="0EDC8A6C" w14:textId="77777777" w:rsidTr="004D44E4">
        <w:trPr>
          <w:trHeight w:val="312"/>
        </w:trPr>
        <w:tc>
          <w:tcPr>
            <w:tcW w:w="8640" w:type="dxa"/>
            <w:gridSpan w:val="4"/>
            <w:noWrap/>
            <w:hideMark/>
          </w:tcPr>
          <w:p w14:paraId="302ECF89" w14:textId="77777777" w:rsidR="005B49C8" w:rsidRPr="00E432F9" w:rsidRDefault="005B49C8">
            <w:r w:rsidRPr="00E432F9">
              <w:rPr>
                <w:bCs/>
              </w:rPr>
              <w:t>(a) Calculate the Cost of Goods Manufactured for the month.</w:t>
            </w:r>
          </w:p>
        </w:tc>
      </w:tr>
      <w:tr w:rsidR="005B49C8" w:rsidRPr="005B49C8" w14:paraId="7E41FBDF" w14:textId="77777777" w:rsidTr="004D44E4">
        <w:trPr>
          <w:trHeight w:val="312"/>
        </w:trPr>
        <w:tc>
          <w:tcPr>
            <w:tcW w:w="6148" w:type="dxa"/>
            <w:gridSpan w:val="2"/>
            <w:noWrap/>
            <w:hideMark/>
          </w:tcPr>
          <w:p w14:paraId="3DB707EF" w14:textId="77777777" w:rsidR="005B49C8" w:rsidRPr="00E432F9" w:rsidRDefault="005B49C8">
            <w:pPr>
              <w:rPr>
                <w:bCs/>
              </w:rPr>
            </w:pPr>
            <w:r w:rsidRPr="00E432F9">
              <w:rPr>
                <w:bCs/>
              </w:rPr>
              <w:t>(b) Calculate the Cost of Goods Sold for the month.</w:t>
            </w:r>
          </w:p>
        </w:tc>
        <w:tc>
          <w:tcPr>
            <w:tcW w:w="1321" w:type="dxa"/>
            <w:noWrap/>
            <w:hideMark/>
          </w:tcPr>
          <w:p w14:paraId="31B8263B" w14:textId="77777777" w:rsidR="005B49C8" w:rsidRPr="005B49C8" w:rsidRDefault="005B49C8">
            <w:pPr>
              <w:rPr>
                <w:b/>
                <w:bCs/>
              </w:rPr>
            </w:pPr>
          </w:p>
        </w:tc>
        <w:tc>
          <w:tcPr>
            <w:tcW w:w="1171" w:type="dxa"/>
            <w:noWrap/>
            <w:hideMark/>
          </w:tcPr>
          <w:p w14:paraId="009F6713" w14:textId="77777777" w:rsidR="005B49C8" w:rsidRPr="005B49C8" w:rsidRDefault="005B49C8"/>
        </w:tc>
      </w:tr>
    </w:tbl>
    <w:p w14:paraId="44688E27" w14:textId="77777777" w:rsidR="005B49C8" w:rsidRDefault="005B49C8"/>
    <w:p w14:paraId="7A224202" w14:textId="77777777" w:rsidR="005B49C8" w:rsidRDefault="005B49C8"/>
    <w:p w14:paraId="0F4B50BF" w14:textId="77777777" w:rsidR="005B49C8" w:rsidRDefault="005B49C8">
      <w:r>
        <w:br w:type="page"/>
      </w:r>
    </w:p>
    <w:p w14:paraId="57657957" w14:textId="77777777" w:rsidR="00C5540F" w:rsidRPr="005B49C8" w:rsidRDefault="008B74E5">
      <w:pPr>
        <w:rPr>
          <w:b/>
          <w:u w:val="single"/>
        </w:rPr>
      </w:pPr>
      <w:r w:rsidRPr="005B49C8">
        <w:rPr>
          <w:b/>
          <w:u w:val="single"/>
        </w:rPr>
        <w:lastRenderedPageBreak/>
        <w:t>Question 2</w:t>
      </w:r>
      <w:r w:rsidR="005B49C8">
        <w:rPr>
          <w:b/>
          <w:u w:val="single"/>
        </w:rPr>
        <w:t>:</w:t>
      </w:r>
    </w:p>
    <w:p w14:paraId="6AECE328" w14:textId="77777777" w:rsidR="008B74E5" w:rsidRDefault="008B74E5"/>
    <w:p w14:paraId="1CD36C98" w14:textId="77777777" w:rsidR="007C7F50" w:rsidRDefault="007C7F50">
      <w:r>
        <w:t>AgroPharm Corp. manufactures pharmaceutical products that are sold through a network of external sales agents. The agents are paid a commission of 18% of revenues (i.e., a variable cost)</w:t>
      </w:r>
      <w:r w:rsidR="00E432F9">
        <w:t xml:space="preserve"> and a fixed total basic salary of $5,250,000</w:t>
      </w:r>
      <w:r>
        <w:t xml:space="preserve">. Agropharm is considering replacing the sales agents with its own salespeople, who would be paid a commission of 12% revenues and a fixed </w:t>
      </w:r>
      <w:r w:rsidR="00E432F9">
        <w:t xml:space="preserve">total </w:t>
      </w:r>
      <w:r>
        <w:t xml:space="preserve">basic salary of $7,950,000. The income statement </w:t>
      </w:r>
      <w:r w:rsidR="0010078B">
        <w:t xml:space="preserve">for the year ending December 31, 2020, under the two scenarios is shown here: (see the columns under “Using Sales Agents” vs those under “Using Own Sales Force”). </w:t>
      </w:r>
    </w:p>
    <w:p w14:paraId="75F9CED2" w14:textId="77777777" w:rsidR="005B49C8" w:rsidRDefault="005B49C8"/>
    <w:p w14:paraId="0B8032B2" w14:textId="77777777" w:rsidR="00E432F9" w:rsidRDefault="00E432F9"/>
    <w:p w14:paraId="5025996D" w14:textId="77777777" w:rsidR="008B74E5" w:rsidRDefault="00E432F9">
      <w:r w:rsidRPr="00E432F9">
        <w:rPr>
          <w:noProof/>
        </w:rPr>
        <w:drawing>
          <wp:inline distT="0" distB="0" distL="0" distR="0" wp14:anchorId="29236AAC" wp14:editId="4EC023D2">
            <wp:extent cx="5543550" cy="3047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87" b="34744"/>
                    <a:stretch/>
                  </pic:blipFill>
                  <pic:spPr bwMode="auto">
                    <a:xfrm>
                      <a:off x="0" y="0"/>
                      <a:ext cx="5585385" cy="30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BBE5E" w14:textId="77777777" w:rsidR="008B74E5" w:rsidRDefault="008B74E5"/>
    <w:p w14:paraId="1F42F8D6" w14:textId="77777777" w:rsidR="008B74E5" w:rsidRPr="00E432F9" w:rsidRDefault="00E432F9">
      <w:pPr>
        <w:rPr>
          <w:b/>
          <w:noProof/>
        </w:rPr>
      </w:pPr>
      <w:r w:rsidRPr="00E432F9">
        <w:rPr>
          <w:b/>
          <w:noProof/>
        </w:rPr>
        <w:t>Required:</w:t>
      </w:r>
    </w:p>
    <w:p w14:paraId="6750F7AA" w14:textId="77777777" w:rsidR="00E432F9" w:rsidRDefault="00E432F9">
      <w:pPr>
        <w:rPr>
          <w:noProof/>
        </w:rPr>
      </w:pPr>
    </w:p>
    <w:p w14:paraId="283A315E" w14:textId="77777777" w:rsidR="00E432F9" w:rsidRPr="00E432F9" w:rsidRDefault="00E432F9" w:rsidP="00E432F9">
      <w:pPr>
        <w:rPr>
          <w:noProof/>
        </w:rPr>
      </w:pPr>
      <w:r w:rsidRPr="00E432F9">
        <w:rPr>
          <w:noProof/>
        </w:rPr>
        <w:t xml:space="preserve">Calculate the company’s 2020 contribution margin ratio, break-even revenues, and the degree of operating leverage under the two scenarios, respectively. </w:t>
      </w:r>
    </w:p>
    <w:p w14:paraId="5B84993F" w14:textId="77777777" w:rsidR="00E432F9" w:rsidRDefault="00E432F9">
      <w:pPr>
        <w:rPr>
          <w:noProof/>
        </w:rPr>
      </w:pPr>
    </w:p>
    <w:p w14:paraId="08F7E546" w14:textId="77777777" w:rsidR="008B74E5" w:rsidRDefault="008B74E5"/>
    <w:sectPr w:rsidR="008B74E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7B81" w14:textId="77777777" w:rsidR="00141F5C" w:rsidRDefault="00141F5C" w:rsidP="008B1B37">
      <w:r>
        <w:separator/>
      </w:r>
    </w:p>
  </w:endnote>
  <w:endnote w:type="continuationSeparator" w:id="0">
    <w:p w14:paraId="013844A7" w14:textId="77777777" w:rsidR="00141F5C" w:rsidRDefault="00141F5C" w:rsidP="008B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480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80EA2D" w14:textId="77777777" w:rsidR="008B1B37" w:rsidRDefault="008B1B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A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4867C" w14:textId="77777777" w:rsidR="008B1B37" w:rsidRDefault="008B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D812" w14:textId="77777777" w:rsidR="00141F5C" w:rsidRDefault="00141F5C" w:rsidP="008B1B37">
      <w:r>
        <w:separator/>
      </w:r>
    </w:p>
  </w:footnote>
  <w:footnote w:type="continuationSeparator" w:id="0">
    <w:p w14:paraId="13C177D6" w14:textId="77777777" w:rsidR="00141F5C" w:rsidRDefault="00141F5C" w:rsidP="008B1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E5"/>
    <w:rsid w:val="0010078B"/>
    <w:rsid w:val="00141F5C"/>
    <w:rsid w:val="002419A2"/>
    <w:rsid w:val="00291A9E"/>
    <w:rsid w:val="003C15F4"/>
    <w:rsid w:val="004551A3"/>
    <w:rsid w:val="004D44E4"/>
    <w:rsid w:val="00554A1D"/>
    <w:rsid w:val="005A1058"/>
    <w:rsid w:val="005B49C8"/>
    <w:rsid w:val="005C75EB"/>
    <w:rsid w:val="005D189F"/>
    <w:rsid w:val="007C7F50"/>
    <w:rsid w:val="008B1B37"/>
    <w:rsid w:val="008B74E5"/>
    <w:rsid w:val="009B30AC"/>
    <w:rsid w:val="00D10AC5"/>
    <w:rsid w:val="00DD1DB5"/>
    <w:rsid w:val="00E432F9"/>
    <w:rsid w:val="00F0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3DD7"/>
  <w15:chartTrackingRefBased/>
  <w15:docId w15:val="{40EA20FB-F755-42B9-82BF-B696F631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1D"/>
  </w:style>
  <w:style w:type="paragraph" w:styleId="Heading1">
    <w:name w:val="heading 1"/>
    <w:basedOn w:val="Normal"/>
    <w:next w:val="Normal"/>
    <w:link w:val="Heading1Char"/>
    <w:uiPriority w:val="9"/>
    <w:qFormat/>
    <w:rsid w:val="00455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5A1058"/>
    <w:rPr>
      <w:rFonts w:ascii="Times New Roman" w:hAnsi="Times New Roman"/>
      <w:sz w:val="20"/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551A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51A3"/>
    <w:rPr>
      <w:rFonts w:ascii="Times New Roman" w:hAnsi="Times New Roman"/>
      <w:kern w:val="2"/>
      <w:sz w:val="20"/>
      <w:szCs w:val="18"/>
    </w:rPr>
  </w:style>
  <w:style w:type="paragraph" w:customStyle="1" w:styleId="Default">
    <w:name w:val="Default"/>
    <w:rsid w:val="004551A3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reference">
    <w:name w:val="reference"/>
    <w:basedOn w:val="Normal"/>
    <w:link w:val="referenceChar1"/>
    <w:rsid w:val="004551A3"/>
    <w:pPr>
      <w:keepLines/>
      <w:tabs>
        <w:tab w:val="left" w:pos="-720"/>
      </w:tabs>
      <w:suppressAutoHyphens/>
      <w:spacing w:after="120"/>
      <w:ind w:left="547" w:hanging="547"/>
    </w:pPr>
    <w:rPr>
      <w:rFonts w:eastAsia="Times New Roman"/>
      <w:lang w:eastAsia="en-US"/>
    </w:rPr>
  </w:style>
  <w:style w:type="character" w:customStyle="1" w:styleId="referenceChar1">
    <w:name w:val="reference Char1"/>
    <w:link w:val="reference"/>
    <w:locked/>
    <w:rsid w:val="004551A3"/>
    <w:rPr>
      <w:rFonts w:ascii="Times New Roman" w:eastAsia="Times New Roman" w:hAnsi="Times New Roman" w:cs="Times New Roman"/>
      <w:sz w:val="24"/>
      <w:szCs w:val="21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1A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551A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51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1A3"/>
    <w:rPr>
      <w:b/>
      <w:bCs/>
      <w:kern w:val="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1A3"/>
  </w:style>
  <w:style w:type="paragraph" w:styleId="TOC2">
    <w:name w:val="toc 2"/>
    <w:basedOn w:val="Normal"/>
    <w:next w:val="Normal"/>
    <w:autoRedefine/>
    <w:uiPriority w:val="39"/>
    <w:unhideWhenUsed/>
    <w:rsid w:val="004551A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551A3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unhideWhenUsed/>
    <w:rsid w:val="005A1058"/>
    <w:pPr>
      <w:adjustRightInd w:val="0"/>
      <w:snapToGrid w:val="0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1058"/>
    <w:rPr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1A3"/>
    <w:rPr>
      <w:kern w:val="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51A3"/>
    <w:rPr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51A3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51A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551A3"/>
    <w:rPr>
      <w:kern w:val="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551A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1A3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A3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4551A3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51A3"/>
    <w:rPr>
      <w:color w:val="808080"/>
    </w:rPr>
  </w:style>
  <w:style w:type="paragraph" w:styleId="ListParagraph">
    <w:name w:val="List Paragraph"/>
    <w:basedOn w:val="Normal"/>
    <w:uiPriority w:val="34"/>
    <w:qFormat/>
    <w:rsid w:val="004551A3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4551A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5</cp:revision>
  <dcterms:created xsi:type="dcterms:W3CDTF">2022-10-26T14:47:00Z</dcterms:created>
  <dcterms:modified xsi:type="dcterms:W3CDTF">2023-09-10T07:03:00Z</dcterms:modified>
</cp:coreProperties>
</file>