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4B" w:rsidRPr="006323AB" w:rsidRDefault="004368ED" w:rsidP="006323A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bookmarkStart w:id="0" w:name="_GoBack"/>
      <w:bookmarkEnd w:id="0"/>
      <w:r w:rsidR="000A4C9D">
        <w:rPr>
          <w:b/>
          <w:sz w:val="26"/>
          <w:szCs w:val="26"/>
        </w:rPr>
        <w:t>Exercise E4</w:t>
      </w:r>
      <w:r w:rsidR="00CC2C80">
        <w:rPr>
          <w:b/>
          <w:sz w:val="26"/>
          <w:szCs w:val="26"/>
        </w:rPr>
        <w:t>-1</w:t>
      </w:r>
      <w:r w:rsidR="000A4C9D">
        <w:rPr>
          <w:b/>
          <w:sz w:val="26"/>
          <w:szCs w:val="26"/>
        </w:rPr>
        <w:t>1</w:t>
      </w:r>
      <w:r w:rsidR="006323AB">
        <w:rPr>
          <w:b/>
          <w:sz w:val="26"/>
          <w:szCs w:val="26"/>
        </w:rPr>
        <w:t xml:space="preserve"> (</w:t>
      </w:r>
      <w:r w:rsidR="00CC2C80">
        <w:rPr>
          <w:b/>
          <w:sz w:val="26"/>
          <w:szCs w:val="26"/>
        </w:rPr>
        <w:t>Second production department</w:t>
      </w:r>
      <w:r w:rsidR="006323AB">
        <w:rPr>
          <w:b/>
          <w:sz w:val="26"/>
          <w:szCs w:val="26"/>
        </w:rPr>
        <w:t>)</w:t>
      </w:r>
    </w:p>
    <w:p w:rsidR="006323AB" w:rsidRDefault="006323AB" w:rsidP="008A524B">
      <w:pPr>
        <w:pStyle w:val="ListParagraph"/>
        <w:ind w:left="450"/>
        <w:rPr>
          <w:b/>
          <w:sz w:val="26"/>
          <w:szCs w:val="26"/>
        </w:rPr>
      </w:pPr>
    </w:p>
    <w:p w:rsidR="006323AB" w:rsidRPr="002F2B56" w:rsidRDefault="00CC2C80" w:rsidP="006323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Scribners</w:t>
      </w:r>
      <w:proofErr w:type="spellEnd"/>
      <w:r>
        <w:rPr>
          <w:sz w:val="24"/>
          <w:szCs w:val="24"/>
        </w:rPr>
        <w:t xml:space="preserve"> Corp. produces fine papers in three production departments- Pulping, Drying, and Finishing. The company uses the weighted-average method in its process costing system. Data for March for the Drying Department follow:</w:t>
      </w:r>
    </w:p>
    <w:p w:rsidR="006323AB" w:rsidRDefault="006323AB" w:rsidP="006323AB">
      <w:pPr>
        <w:rPr>
          <w:sz w:val="26"/>
          <w:szCs w:val="26"/>
        </w:rPr>
      </w:pPr>
    </w:p>
    <w:p w:rsidR="006323AB" w:rsidRPr="006323AB" w:rsidRDefault="00C657AA" w:rsidP="006323AB">
      <w:pPr>
        <w:rPr>
          <w:sz w:val="26"/>
          <w:szCs w:val="26"/>
        </w:rPr>
      </w:pPr>
      <w:r w:rsidRPr="00C657AA">
        <w:rPr>
          <w:noProof/>
        </w:rPr>
        <w:drawing>
          <wp:inline distT="0" distB="0" distL="0" distR="0">
            <wp:extent cx="5404019" cy="1943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85" cy="195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7AA" w:rsidRDefault="00C657AA" w:rsidP="002F2B56">
      <w:pPr>
        <w:rPr>
          <w:sz w:val="26"/>
          <w:szCs w:val="26"/>
        </w:rPr>
      </w:pPr>
    </w:p>
    <w:p w:rsidR="002F2B56" w:rsidRPr="004466BF" w:rsidRDefault="00C657AA" w:rsidP="00455880">
      <w:pPr>
        <w:rPr>
          <w:b/>
          <w:sz w:val="26"/>
          <w:szCs w:val="26"/>
        </w:rPr>
      </w:pPr>
      <w:r>
        <w:rPr>
          <w:sz w:val="24"/>
          <w:szCs w:val="24"/>
        </w:rPr>
        <w:t xml:space="preserve">No materials are added in the Drying Department. </w:t>
      </w:r>
      <w:r w:rsidRPr="004466BF">
        <w:rPr>
          <w:b/>
          <w:sz w:val="24"/>
          <w:szCs w:val="24"/>
        </w:rPr>
        <w:t>Pulping costs represent the costs transferred in from Pulping Department</w:t>
      </w:r>
      <w:r w:rsidR="004466BF">
        <w:rPr>
          <w:b/>
          <w:sz w:val="24"/>
          <w:szCs w:val="24"/>
        </w:rPr>
        <w:t xml:space="preserve"> (i.e., transferred-in cost)</w:t>
      </w:r>
      <w:r w:rsidRPr="004466BF">
        <w:rPr>
          <w:b/>
          <w:sz w:val="24"/>
          <w:szCs w:val="24"/>
        </w:rPr>
        <w:t xml:space="preserve">. </w:t>
      </w:r>
    </w:p>
    <w:p w:rsidR="002F2B56" w:rsidRPr="004466BF" w:rsidRDefault="002F2B56" w:rsidP="008A524B">
      <w:pPr>
        <w:pStyle w:val="ListParagraph"/>
        <w:ind w:left="450"/>
        <w:rPr>
          <w:b/>
          <w:sz w:val="26"/>
          <w:szCs w:val="26"/>
        </w:rPr>
      </w:pPr>
    </w:p>
    <w:p w:rsidR="006323AB" w:rsidRPr="00931C48" w:rsidRDefault="006323AB" w:rsidP="006323AB">
      <w:pPr>
        <w:pStyle w:val="ListParagraph"/>
        <w:ind w:left="450" w:hanging="450"/>
        <w:rPr>
          <w:b/>
          <w:sz w:val="24"/>
          <w:szCs w:val="24"/>
          <w:u w:val="single"/>
        </w:rPr>
      </w:pPr>
      <w:r w:rsidRPr="00931C48">
        <w:rPr>
          <w:b/>
          <w:sz w:val="24"/>
          <w:szCs w:val="24"/>
          <w:u w:val="single"/>
        </w:rPr>
        <w:t xml:space="preserve">Required: </w:t>
      </w:r>
    </w:p>
    <w:p w:rsidR="002F2B56" w:rsidRPr="00931C48" w:rsidRDefault="002F2B56" w:rsidP="006323AB">
      <w:pPr>
        <w:rPr>
          <w:sz w:val="24"/>
          <w:szCs w:val="24"/>
        </w:rPr>
      </w:pPr>
    </w:p>
    <w:p w:rsidR="002F2B56" w:rsidRDefault="00455880" w:rsidP="008A0724">
      <w:pPr>
        <w:pStyle w:val="ListParagraph"/>
        <w:numPr>
          <w:ilvl w:val="0"/>
          <w:numId w:val="4"/>
        </w:num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Compute the costs per equivalent unit for March for pulping and conversion of Drying Dept. </w:t>
      </w: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6418"/>
        <w:gridCol w:w="1386"/>
        <w:gridCol w:w="1664"/>
      </w:tblGrid>
      <w:tr w:rsidR="00455880" w:rsidRPr="00455880" w:rsidTr="008A0724">
        <w:tc>
          <w:tcPr>
            <w:tcW w:w="6418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Equivalent units of production</w:t>
            </w:r>
          </w:p>
        </w:tc>
        <w:tc>
          <w:tcPr>
            <w:tcW w:w="138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</w:p>
        </w:tc>
      </w:tr>
      <w:tr w:rsidR="00455880" w:rsidRPr="00455880" w:rsidTr="008A0724">
        <w:tc>
          <w:tcPr>
            <w:tcW w:w="6418" w:type="dxa"/>
          </w:tcPr>
          <w:p w:rsidR="00455880" w:rsidRPr="008A0724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158" w:hanging="158"/>
              <w:jc w:val="center"/>
              <w:rPr>
                <w:i/>
                <w:kern w:val="1"/>
                <w:sz w:val="10"/>
                <w:szCs w:val="10"/>
              </w:rPr>
            </w:pPr>
          </w:p>
        </w:tc>
        <w:tc>
          <w:tcPr>
            <w:tcW w:w="138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  <w:r w:rsidRPr="00455880">
              <w:rPr>
                <w:i/>
                <w:kern w:val="1"/>
                <w:sz w:val="24"/>
                <w:szCs w:val="24"/>
              </w:rPr>
              <w:t>Pulping</w:t>
            </w: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  <w:r w:rsidRPr="00455880">
              <w:rPr>
                <w:i/>
                <w:kern w:val="1"/>
                <w:sz w:val="24"/>
                <w:szCs w:val="24"/>
              </w:rPr>
              <w:t>Conversion</w:t>
            </w:r>
          </w:p>
        </w:tc>
      </w:tr>
      <w:tr w:rsidR="00455880" w:rsidRPr="00455880" w:rsidTr="008A0724">
        <w:tc>
          <w:tcPr>
            <w:tcW w:w="6418" w:type="dxa"/>
          </w:tcPr>
          <w:p w:rsidR="00455880" w:rsidRPr="00455880" w:rsidRDefault="00CC6B08" w:rsidP="00CC6B08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904"/>
              </w:tabs>
              <w:ind w:left="158" w:hanging="158"/>
              <w:rPr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>Units t</w:t>
            </w:r>
            <w:r w:rsidR="00455880" w:rsidRPr="00455880">
              <w:rPr>
                <w:kern w:val="1"/>
                <w:sz w:val="24"/>
                <w:szCs w:val="24"/>
              </w:rPr>
              <w:t>ransferred to next department</w:t>
            </w:r>
            <w:r w:rsidR="00455880"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386" w:type="dxa"/>
          </w:tcPr>
          <w:p w:rsidR="00455880" w:rsidRPr="00455880" w:rsidRDefault="00455880" w:rsidP="00CC6B08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right="120" w:firstLine="0"/>
              <w:jc w:val="right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157,000</w:t>
            </w: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157,000</w:t>
            </w:r>
          </w:p>
        </w:tc>
      </w:tr>
      <w:tr w:rsidR="00455880" w:rsidRPr="00455880" w:rsidTr="008A0724">
        <w:tc>
          <w:tcPr>
            <w:tcW w:w="6418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904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Ending work in process:</w:t>
            </w:r>
          </w:p>
        </w:tc>
        <w:tc>
          <w:tcPr>
            <w:tcW w:w="138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kern w:val="1"/>
                <w:sz w:val="24"/>
                <w:szCs w:val="24"/>
              </w:rPr>
            </w:pP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kern w:val="1"/>
                <w:sz w:val="24"/>
                <w:szCs w:val="24"/>
              </w:rPr>
            </w:pPr>
          </w:p>
        </w:tc>
      </w:tr>
      <w:tr w:rsidR="00455880" w:rsidRPr="00455880" w:rsidTr="008A0724">
        <w:tc>
          <w:tcPr>
            <w:tcW w:w="6418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904"/>
              </w:tabs>
              <w:ind w:left="33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 xml:space="preserve">Pulping: 8,000 units x </w:t>
            </w: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100</w:t>
            </w:r>
            <w:r w:rsidRPr="00455880">
              <w:rPr>
                <w:kern w:val="1"/>
                <w:sz w:val="24"/>
                <w:szCs w:val="24"/>
              </w:rPr>
              <w:t>% complete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38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kern w:val="1"/>
                <w:sz w:val="24"/>
                <w:szCs w:val="24"/>
                <w:u w:val="sing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  <w:u w:val="single"/>
              </w:rPr>
              <w:t>   8,000</w:t>
            </w: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kern w:val="1"/>
                <w:sz w:val="24"/>
                <w:szCs w:val="24"/>
                <w:u w:val="single"/>
              </w:rPr>
            </w:pPr>
          </w:p>
        </w:tc>
      </w:tr>
      <w:tr w:rsidR="00455880" w:rsidRPr="00455880" w:rsidTr="008A0724">
        <w:tc>
          <w:tcPr>
            <w:tcW w:w="6418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904"/>
              </w:tabs>
              <w:ind w:left="33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 xml:space="preserve">Conversion: 8,000 units x </w:t>
            </w: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25</w:t>
            </w:r>
            <w:r w:rsidRPr="00455880">
              <w:rPr>
                <w:kern w:val="1"/>
                <w:sz w:val="24"/>
                <w:szCs w:val="24"/>
              </w:rPr>
              <w:t>% complete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38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kern w:val="1"/>
                <w:sz w:val="24"/>
                <w:szCs w:val="24"/>
                <w:u w:val="single"/>
              </w:rPr>
            </w:pP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kern w:val="1"/>
                <w:sz w:val="24"/>
                <w:szCs w:val="24"/>
                <w:u w:val="sing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  <w:u w:val="single"/>
              </w:rPr>
              <w:t>   2,000</w:t>
            </w:r>
          </w:p>
        </w:tc>
      </w:tr>
      <w:tr w:rsidR="00455880" w:rsidRPr="00455880" w:rsidTr="008A0724">
        <w:tc>
          <w:tcPr>
            <w:tcW w:w="6418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904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Equivalent units of production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38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  <w:u w:val="double"/>
              </w:rPr>
              <w:t>165,000</w:t>
            </w:r>
          </w:p>
        </w:tc>
        <w:tc>
          <w:tcPr>
            <w:tcW w:w="1664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  <w:u w:val="double"/>
              </w:rPr>
              <w:t>159,000</w:t>
            </w:r>
          </w:p>
        </w:tc>
      </w:tr>
    </w:tbl>
    <w:p w:rsidR="002F2B56" w:rsidRDefault="002F2B56" w:rsidP="006323AB">
      <w:pPr>
        <w:rPr>
          <w:sz w:val="26"/>
          <w:szCs w:val="26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846"/>
        <w:gridCol w:w="1440"/>
        <w:gridCol w:w="1573"/>
      </w:tblGrid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Cost per equivalent unit</w:t>
            </w: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</w:p>
        </w:tc>
      </w:tr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158" w:hanging="158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  <w:r w:rsidRPr="00455880">
              <w:rPr>
                <w:i/>
                <w:kern w:val="1"/>
                <w:sz w:val="24"/>
                <w:szCs w:val="24"/>
              </w:rPr>
              <w:t>Pulping</w:t>
            </w: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center"/>
              <w:rPr>
                <w:i/>
                <w:kern w:val="1"/>
                <w:sz w:val="24"/>
                <w:szCs w:val="24"/>
              </w:rPr>
            </w:pPr>
            <w:r w:rsidRPr="00455880">
              <w:rPr>
                <w:i/>
                <w:kern w:val="1"/>
                <w:sz w:val="24"/>
                <w:szCs w:val="24"/>
              </w:rPr>
              <w:t>Conversion</w:t>
            </w:r>
          </w:p>
        </w:tc>
      </w:tr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630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Cost of beginning work in process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$   4,800</w:t>
            </w: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$     500</w:t>
            </w:r>
          </w:p>
        </w:tc>
      </w:tr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630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Cost added during the period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sing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  <w:u w:val="single"/>
              </w:rPr>
              <w:t> 102,450</w:t>
            </w: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sing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  <w:u w:val="single"/>
              </w:rPr>
              <w:t>31,300</w:t>
            </w:r>
          </w:p>
        </w:tc>
      </w:tr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630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Total cost (a)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$107,250</w:t>
            </w: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$31,800</w:t>
            </w:r>
          </w:p>
        </w:tc>
      </w:tr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630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Equivalent units of production (b)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165,000</w:t>
            </w: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159,000</w:t>
            </w:r>
          </w:p>
        </w:tc>
      </w:tr>
      <w:tr w:rsidR="00455880" w:rsidRPr="00455880" w:rsidTr="00B4592B">
        <w:tc>
          <w:tcPr>
            <w:tcW w:w="5846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right" w:leader="dot" w:pos="5630"/>
              </w:tabs>
              <w:ind w:left="158" w:hanging="158"/>
              <w:rPr>
                <w:kern w:val="1"/>
                <w:sz w:val="24"/>
                <w:szCs w:val="24"/>
              </w:rPr>
            </w:pPr>
            <w:r w:rsidRPr="00455880">
              <w:rPr>
                <w:kern w:val="1"/>
                <w:sz w:val="24"/>
                <w:szCs w:val="24"/>
              </w:rPr>
              <w:t>Cost per equivalent unit, (a) ÷ (b)</w:t>
            </w:r>
            <w:r w:rsidRPr="00455880">
              <w:rPr>
                <w:kern w:val="1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  <w:tab w:val="decimal" w:pos="180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$0.65</w:t>
            </w:r>
          </w:p>
        </w:tc>
        <w:tc>
          <w:tcPr>
            <w:tcW w:w="1573" w:type="dxa"/>
          </w:tcPr>
          <w:p w:rsidR="00455880" w:rsidRPr="00455880" w:rsidRDefault="00455880" w:rsidP="00B4592B">
            <w:pPr>
              <w:pStyle w:val="NumberedPart"/>
              <w:tabs>
                <w:tab w:val="clear" w:pos="120"/>
                <w:tab w:val="clear" w:pos="360"/>
                <w:tab w:val="clear" w:pos="696"/>
                <w:tab w:val="clear" w:pos="936"/>
              </w:tabs>
              <w:ind w:left="0" w:firstLine="0"/>
              <w:jc w:val="right"/>
              <w:rPr>
                <w:color w:val="FFFFFF" w:themeColor="background1"/>
                <w:kern w:val="1"/>
                <w:sz w:val="24"/>
                <w:szCs w:val="24"/>
                <w:u w:val="double"/>
              </w:rPr>
            </w:pPr>
            <w:r w:rsidRPr="00455880">
              <w:rPr>
                <w:color w:val="FFFFFF" w:themeColor="background1"/>
                <w:kern w:val="1"/>
                <w:sz w:val="24"/>
                <w:szCs w:val="24"/>
              </w:rPr>
              <w:t>$0.20</w:t>
            </w:r>
          </w:p>
        </w:tc>
      </w:tr>
    </w:tbl>
    <w:p w:rsidR="008A0724" w:rsidRDefault="008A0724" w:rsidP="005F1E95">
      <w:pPr>
        <w:ind w:left="270" w:hanging="270"/>
        <w:rPr>
          <w:sz w:val="24"/>
          <w:szCs w:val="24"/>
        </w:rPr>
      </w:pPr>
      <w:r w:rsidRPr="008A0724">
        <w:rPr>
          <w:sz w:val="24"/>
          <w:szCs w:val="24"/>
        </w:rPr>
        <w:tab/>
      </w:r>
    </w:p>
    <w:p w:rsidR="002F2B56" w:rsidRPr="008A0724" w:rsidRDefault="008A0724" w:rsidP="008A0724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8A0724">
        <w:rPr>
          <w:sz w:val="24"/>
          <w:szCs w:val="24"/>
        </w:rPr>
        <w:t xml:space="preserve">Compute the </w:t>
      </w:r>
      <w:r>
        <w:rPr>
          <w:sz w:val="24"/>
          <w:szCs w:val="24"/>
        </w:rPr>
        <w:t xml:space="preserve">costs of ending inventory on March 31 for </w:t>
      </w:r>
      <w:r w:rsidRPr="008A0724">
        <w:rPr>
          <w:sz w:val="24"/>
          <w:szCs w:val="24"/>
        </w:rPr>
        <w:t xml:space="preserve">Drying Dept. </w:t>
      </w:r>
    </w:p>
    <w:p w:rsidR="002F2B56" w:rsidRDefault="002F2B56" w:rsidP="006323AB">
      <w:pPr>
        <w:rPr>
          <w:sz w:val="26"/>
          <w:szCs w:val="26"/>
        </w:rPr>
      </w:pPr>
    </w:p>
    <w:sectPr w:rsidR="002F2B56" w:rsidSect="005F1E95">
      <w:head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D4" w:rsidRDefault="00F91FD4" w:rsidP="00B51AAC">
      <w:r>
        <w:separator/>
      </w:r>
    </w:p>
  </w:endnote>
  <w:endnote w:type="continuationSeparator" w:id="0">
    <w:p w:rsidR="00F91FD4" w:rsidRDefault="00F91FD4" w:rsidP="00B5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D4" w:rsidRDefault="00F91FD4" w:rsidP="00B51AAC">
      <w:r>
        <w:separator/>
      </w:r>
    </w:p>
  </w:footnote>
  <w:footnote w:type="continuationSeparator" w:id="0">
    <w:p w:rsidR="00F91FD4" w:rsidRDefault="00F91FD4" w:rsidP="00B51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C" w:rsidRPr="00B51AAC" w:rsidRDefault="00B51AAC" w:rsidP="00B51AAC">
    <w:pPr>
      <w:pStyle w:val="Header"/>
      <w:rPr>
        <w:b/>
        <w:sz w:val="24"/>
        <w:szCs w:val="24"/>
      </w:rPr>
    </w:pPr>
    <w:r w:rsidRPr="00B51AAC">
      <w:rPr>
        <w:b/>
        <w:sz w:val="24"/>
        <w:szCs w:val="24"/>
      </w:rPr>
      <w:t>Student Name</w:t>
    </w:r>
    <w:proofErr w:type="gramStart"/>
    <w:r w:rsidRPr="00B51AAC">
      <w:rPr>
        <w:b/>
        <w:sz w:val="24"/>
        <w:szCs w:val="24"/>
      </w:rPr>
      <w:t>:_</w:t>
    </w:r>
    <w:proofErr w:type="gramEnd"/>
    <w:r w:rsidRPr="00B51AAC">
      <w:rPr>
        <w:b/>
        <w:sz w:val="24"/>
        <w:szCs w:val="24"/>
      </w:rPr>
      <w:t>______________                        Date: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5750"/>
    <w:multiLevelType w:val="hybridMultilevel"/>
    <w:tmpl w:val="B6022332"/>
    <w:lvl w:ilvl="0" w:tplc="7304C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5BA4"/>
    <w:multiLevelType w:val="hybridMultilevel"/>
    <w:tmpl w:val="FD06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505C"/>
    <w:multiLevelType w:val="hybridMultilevel"/>
    <w:tmpl w:val="60B215C6"/>
    <w:lvl w:ilvl="0" w:tplc="3CA87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A39"/>
    <w:multiLevelType w:val="hybridMultilevel"/>
    <w:tmpl w:val="F8B6057A"/>
    <w:lvl w:ilvl="0" w:tplc="EB78157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D5"/>
    <w:rsid w:val="000A4C9D"/>
    <w:rsid w:val="000C1CCC"/>
    <w:rsid w:val="00230176"/>
    <w:rsid w:val="002467CD"/>
    <w:rsid w:val="002F2B56"/>
    <w:rsid w:val="00345DE6"/>
    <w:rsid w:val="003664B9"/>
    <w:rsid w:val="003C58EE"/>
    <w:rsid w:val="003E5BE4"/>
    <w:rsid w:val="004368ED"/>
    <w:rsid w:val="004466BF"/>
    <w:rsid w:val="00455880"/>
    <w:rsid w:val="00456506"/>
    <w:rsid w:val="005501D5"/>
    <w:rsid w:val="005F1E95"/>
    <w:rsid w:val="006323AB"/>
    <w:rsid w:val="00636303"/>
    <w:rsid w:val="00650DB0"/>
    <w:rsid w:val="0065591F"/>
    <w:rsid w:val="00661C82"/>
    <w:rsid w:val="00791D30"/>
    <w:rsid w:val="007A4FCE"/>
    <w:rsid w:val="008A0724"/>
    <w:rsid w:val="008A524B"/>
    <w:rsid w:val="008A6B99"/>
    <w:rsid w:val="008B2564"/>
    <w:rsid w:val="008D564B"/>
    <w:rsid w:val="009278A0"/>
    <w:rsid w:val="00931B27"/>
    <w:rsid w:val="00931C48"/>
    <w:rsid w:val="00994A50"/>
    <w:rsid w:val="009C6239"/>
    <w:rsid w:val="00AA013B"/>
    <w:rsid w:val="00B32E87"/>
    <w:rsid w:val="00B51AAC"/>
    <w:rsid w:val="00BB0721"/>
    <w:rsid w:val="00C657AA"/>
    <w:rsid w:val="00CC2C80"/>
    <w:rsid w:val="00CC6B08"/>
    <w:rsid w:val="00D375B7"/>
    <w:rsid w:val="00D74D91"/>
    <w:rsid w:val="00D75499"/>
    <w:rsid w:val="00DA0451"/>
    <w:rsid w:val="00DC6C2E"/>
    <w:rsid w:val="00E06741"/>
    <w:rsid w:val="00E30ED1"/>
    <w:rsid w:val="00E639A5"/>
    <w:rsid w:val="00E84389"/>
    <w:rsid w:val="00EA3CB3"/>
    <w:rsid w:val="00EE12B7"/>
    <w:rsid w:val="00F13078"/>
    <w:rsid w:val="00F57694"/>
    <w:rsid w:val="00F84202"/>
    <w:rsid w:val="00F91FD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5B5CD-CFF1-4DB8-8566-19996B6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2B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A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A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AC"/>
  </w:style>
  <w:style w:type="paragraph" w:styleId="Footer">
    <w:name w:val="footer"/>
    <w:basedOn w:val="Normal"/>
    <w:link w:val="Foot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AC"/>
  </w:style>
  <w:style w:type="paragraph" w:styleId="BalloonText">
    <w:name w:val="Balloon Text"/>
    <w:basedOn w:val="Normal"/>
    <w:link w:val="BalloonTextChar"/>
    <w:uiPriority w:val="99"/>
    <w:semiHidden/>
    <w:unhideWhenUsed/>
    <w:rsid w:val="00E63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D30"/>
    <w:pPr>
      <w:ind w:left="720"/>
      <w:contextualSpacing/>
    </w:pPr>
  </w:style>
  <w:style w:type="paragraph" w:customStyle="1" w:styleId="TextLeft">
    <w:name w:val="Text Left"/>
    <w:basedOn w:val="Normal"/>
    <w:rsid w:val="007A4FCE"/>
    <w:pPr>
      <w:spacing w:line="320" w:lineRule="exac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TextRight">
    <w:name w:val="Text Right"/>
    <w:rsid w:val="007A4FCE"/>
    <w:pPr>
      <w:spacing w:line="320" w:lineRule="exact"/>
      <w:ind w:right="72"/>
      <w:jc w:val="righ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NumberedPart">
    <w:name w:val="Numbered Part"/>
    <w:rsid w:val="007A4FCE"/>
    <w:pPr>
      <w:widowControl w:val="0"/>
      <w:tabs>
        <w:tab w:val="decimal" w:pos="120"/>
        <w:tab w:val="left" w:pos="360"/>
        <w:tab w:val="left" w:pos="696"/>
        <w:tab w:val="left" w:pos="936"/>
      </w:tabs>
      <w:spacing w:line="320" w:lineRule="exact"/>
      <w:ind w:left="360" w:hanging="360"/>
    </w:pPr>
    <w:rPr>
      <w:rFonts w:ascii="Tahoma" w:eastAsia="Times New Roman" w:hAnsi="Tahoma" w:cs="Times New Roman"/>
      <w:color w:val="000000"/>
      <w:sz w:val="28"/>
      <w:szCs w:val="20"/>
      <w:lang w:eastAsia="en-US"/>
    </w:rPr>
  </w:style>
  <w:style w:type="paragraph" w:customStyle="1" w:styleId="TextLeader">
    <w:name w:val="Text Leader"/>
    <w:basedOn w:val="TextLeft"/>
    <w:rsid w:val="007A4FCE"/>
    <w:pPr>
      <w:tabs>
        <w:tab w:val="left" w:pos="216"/>
        <w:tab w:val="left" w:pos="432"/>
        <w:tab w:val="right" w:leader="dot" w:pos="7200"/>
      </w:tabs>
      <w:ind w:left="216" w:right="172" w:hanging="216"/>
    </w:pPr>
    <w:rPr>
      <w:rFonts w:cs="Tahoma"/>
    </w:rPr>
  </w:style>
  <w:style w:type="paragraph" w:customStyle="1" w:styleId="6pointlinespace">
    <w:name w:val="6 point line space"/>
    <w:basedOn w:val="Normal"/>
    <w:link w:val="6pointlinespaceChar"/>
    <w:rsid w:val="007A4FCE"/>
    <w:pPr>
      <w:spacing w:line="120" w:lineRule="exact"/>
    </w:pPr>
    <w:rPr>
      <w:rFonts w:ascii="Tahoma" w:eastAsia="Times New Roman" w:hAnsi="Tahoma" w:cs="Times New Roman"/>
      <w:sz w:val="12"/>
      <w:szCs w:val="24"/>
      <w:lang w:eastAsia="en-US"/>
    </w:rPr>
  </w:style>
  <w:style w:type="paragraph" w:customStyle="1" w:styleId="EquationCentered">
    <w:name w:val="Equation Centered"/>
    <w:basedOn w:val="Normal"/>
    <w:rsid w:val="007A4FCE"/>
    <w:pPr>
      <w:spacing w:before="120" w:after="120"/>
      <w:ind w:left="360"/>
      <w:jc w:val="center"/>
    </w:pPr>
    <w:rPr>
      <w:rFonts w:ascii="Tahoma" w:eastAsia="Times New Roman" w:hAnsi="Tahoma" w:cs="Tahoma"/>
      <w:sz w:val="28"/>
      <w:szCs w:val="20"/>
      <w:lang w:eastAsia="en-US"/>
    </w:rPr>
  </w:style>
  <w:style w:type="paragraph" w:customStyle="1" w:styleId="ColumnHead">
    <w:name w:val="Column Head"/>
    <w:basedOn w:val="Normal"/>
    <w:rsid w:val="002F2B56"/>
    <w:pPr>
      <w:ind w:left="72" w:right="72"/>
      <w:jc w:val="center"/>
    </w:pPr>
    <w:rPr>
      <w:rFonts w:ascii="Tahoma" w:eastAsia="Times New Roman" w:hAnsi="Tahoma" w:cs="Times New Roman"/>
      <w:bCs/>
      <w:i/>
      <w:iCs/>
      <w:sz w:val="28"/>
      <w:szCs w:val="20"/>
      <w:lang w:eastAsia="en-US"/>
    </w:rPr>
  </w:style>
  <w:style w:type="paragraph" w:customStyle="1" w:styleId="TextCentered">
    <w:name w:val="Text Centered"/>
    <w:basedOn w:val="Normal"/>
    <w:rsid w:val="005F1E95"/>
    <w:pPr>
      <w:spacing w:line="320" w:lineRule="exact"/>
      <w:jc w:val="center"/>
    </w:pPr>
    <w:rPr>
      <w:rFonts w:ascii="Tahoma" w:eastAsia="Times New Roman" w:hAnsi="Tahoma" w:cs="Times New Roman"/>
      <w:sz w:val="28"/>
      <w:szCs w:val="20"/>
      <w:lang w:eastAsia="en-US"/>
    </w:rPr>
  </w:style>
  <w:style w:type="character" w:customStyle="1" w:styleId="6pointlinespaceChar">
    <w:name w:val="6 point line space Char"/>
    <w:basedOn w:val="DefaultParagraphFont"/>
    <w:link w:val="6pointlinespace"/>
    <w:rsid w:val="005F1E95"/>
    <w:rPr>
      <w:rFonts w:ascii="Tahoma" w:eastAsia="Times New Roman" w:hAnsi="Tahoma" w:cs="Times New Roman"/>
      <w:sz w:val="1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6005-517B-4859-A9C2-E9661027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8</cp:revision>
  <cp:lastPrinted>2016-05-25T08:42:00Z</cp:lastPrinted>
  <dcterms:created xsi:type="dcterms:W3CDTF">2019-09-27T14:56:00Z</dcterms:created>
  <dcterms:modified xsi:type="dcterms:W3CDTF">2023-03-30T07:56:00Z</dcterms:modified>
</cp:coreProperties>
</file>