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AFBFD"/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Q&amp;A Preparation — CS699 Classification Project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Team: Ho Man Cheng &amp; Weitao Peng  |  Format: 3 anticipated questions with rehearsed answers (~30–45 seconds each)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before="150" w:lineRule="auto"/>
        <w:rPr/>
      </w:pPr>
      <w:r w:rsidDel="00000000" w:rsidR="00000000" w:rsidRPr="00000000">
        <w:rPr>
          <w:rFonts w:ascii="Geo" w:cs="Geo" w:eastAsia="Geo" w:hAnsi="Geo"/>
          <w:b w:val="1"/>
          <w:bCs w:val="1"/>
          <w:i w:val="0"/>
          <w:iCs w:val="0"/>
          <w:color w:val="ffffff"/>
          <w:sz w:val="20"/>
          <w:szCs w:val="20"/>
          <w:rtl w:val="0"/>
        </w:rPr>
        <w:t xml:space="preserve">Q1</w:t>
      </w:r>
      <w:r w:rsidDel="00000000" w:rsidR="00000000" w:rsidRPr="00000000">
        <w:rPr>
          <w:rtl w:val="0"/>
        </w:rPr>
        <w:t xml:space="preserve">Why did a simple Decision Tree beat ensembles like XGBoost and Random Forest?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/>
      </w:pPr>
      <w:r w:rsidDel="00000000" w:rsidR="00000000" w:rsidRPr="00000000">
        <w:rPr>
          <w:rtl w:val="0"/>
        </w:rPr>
        <w:t xml:space="preserve">Anticipated phrasing from audience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180" w:lineRule="auto"/>
        <w:ind w:left="270" w:right="270" w:firstLine="0"/>
        <w:rPr>
          <w:i w:val="1"/>
          <w:iCs w:val="1"/>
          <w:color w:val="5a3500"/>
          <w:shd w:fill="fff8f0" w:val="clear"/>
        </w:rPr>
      </w:pPr>
      <w:r w:rsidDel="00000000" w:rsidR="00000000" w:rsidRPr="00000000">
        <w:rPr>
          <w:i w:val="1"/>
          <w:iCs w:val="1"/>
          <w:color w:val="5a3500"/>
          <w:shd w:fill="fff8f0" w:val="clear"/>
          <w:rtl w:val="0"/>
        </w:rPr>
        <w:t xml:space="preserve">XGBoost and Random Forest had the highest AUC, but they didn't win. Why did a single Decision Tree outperform them on your target metrics?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/>
      </w:pPr>
      <w:r w:rsidDel="00000000" w:rsidR="00000000" w:rsidRPr="00000000">
        <w:rPr>
          <w:rtl w:val="0"/>
        </w:rPr>
        <w:t xml:space="preserve">Answer (~40 seconds)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270" w:lineRule="auto"/>
        <w:ind w:left="330" w:right="3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Great question. The key is that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AUC and per-class TPR measure different things</w:t>
      </w:r>
      <w:r w:rsidDel="00000000" w:rsidR="00000000" w:rsidRPr="00000000">
        <w:rPr>
          <w:highlight w:val="white"/>
          <w:rtl w:val="0"/>
        </w:rPr>
        <w:t xml:space="preserve">. AUC measures how well a model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ranks</w:t>
      </w:r>
      <w:r w:rsidDel="00000000" w:rsidR="00000000" w:rsidRPr="00000000">
        <w:rPr>
          <w:highlight w:val="white"/>
          <w:rtl w:val="0"/>
        </w:rPr>
        <w:t xml:space="preserve"> Yes examples above No examples across all possible thresholds, while Yes TPR at a fixed threshold of 0.5 measures how many Yes cases we actually classify correctly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right now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Random Forest and XGBoost produced strong probability rankings — that's why their AUCs were high — but their probability distributions were compressed around 0.5, so at our fixed cutoff many true Yes cases fell just below the threshold. The Decision Tree, trained on the undersampled 50/50 data, produced more confident, polarized probabilities that pushed Yes cases clearly across the 0.5 line. In other words,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the ensembles ranked better, but the tree made cleaner decisions at our chosen threshold</w:t>
      </w:r>
      <w:r w:rsidDel="00000000" w:rsidR="00000000" w:rsidRPr="00000000">
        <w:rPr>
          <w:highlight w:val="white"/>
          <w:rtl w:val="0"/>
        </w:rPr>
        <w:t xml:space="preserve"> — which is exactly what the grading rubric rewards.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180" w:lineRule="auto"/>
        <w:ind w:left="270" w:right="270" w:firstLine="0"/>
        <w:rPr>
          <w:color w:val="ffffff"/>
          <w:sz w:val="20"/>
          <w:szCs w:val="20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Fallback one-liner if short on time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"High AUC means good ranking; the rubric rewards good </w:t>
      </w:r>
      <w:r w:rsidDel="00000000" w:rsidR="00000000" w:rsidRPr="00000000">
        <w:rPr>
          <w:i w:val="1"/>
          <w:iCs w:val="1"/>
          <w:color w:val="ffffff"/>
          <w:sz w:val="20"/>
          <w:szCs w:val="20"/>
          <w:rtl w:val="0"/>
        </w:rPr>
        <w:t xml:space="preserve">decisions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at threshold 0.5, and the Decision Tree made cleaner decisions on the undersampled data."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eo" w:cs="Geo" w:eastAsia="Geo" w:hAnsi="Geo"/>
          <w:b w:val="1"/>
          <w:bCs w:val="1"/>
          <w:i w:val="0"/>
          <w:iCs w:val="0"/>
          <w:color w:val="ffffff"/>
          <w:sz w:val="20"/>
          <w:szCs w:val="20"/>
          <w:rtl w:val="0"/>
        </w:rPr>
        <w:t xml:space="preserve">Q2</w:t>
      </w:r>
      <w:r w:rsidDel="00000000" w:rsidR="00000000" w:rsidRPr="00000000">
        <w:rPr>
          <w:rtl w:val="0"/>
        </w:rPr>
        <w:t xml:space="preserve">Why did you choose Random Undersampling when it throws away ~70% of the majority class data?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/>
      </w:pPr>
      <w:r w:rsidDel="00000000" w:rsidR="00000000" w:rsidRPr="00000000">
        <w:rPr>
          <w:rtl w:val="0"/>
        </w:rPr>
        <w:t xml:space="preserve">Anticipated phrasing from audience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180" w:lineRule="auto"/>
        <w:ind w:left="270" w:right="270" w:firstLine="0"/>
        <w:rPr>
          <w:i w:val="1"/>
          <w:iCs w:val="1"/>
          <w:color w:val="5a3500"/>
          <w:shd w:fill="fff8f0" w:val="clear"/>
        </w:rPr>
      </w:pPr>
      <w:r w:rsidDel="00000000" w:rsidR="00000000" w:rsidRPr="00000000">
        <w:rPr>
          <w:i w:val="1"/>
          <w:iCs w:val="1"/>
          <w:color w:val="5a3500"/>
          <w:shd w:fill="fff8f0" w:val="clear"/>
          <w:rtl w:val="0"/>
        </w:rPr>
        <w:t xml:space="preserve">Undersampling discards most of your No-class examples. Wasn't that wasteful? Why not use SMOTE or oversampling, which keep all the data?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/>
      </w:pPr>
      <w:r w:rsidDel="00000000" w:rsidR="00000000" w:rsidRPr="00000000">
        <w:rPr>
          <w:rtl w:val="0"/>
        </w:rPr>
        <w:t xml:space="preserve">Answer (~40 seconds)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270" w:lineRule="auto"/>
        <w:ind w:left="330" w:right="3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That's a fair concern, and we asked the same thing early on. Three reasons justified the choice empirically.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330" w:right="330" w:firstLine="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First</w:t>
      </w:r>
      <w:r w:rsidDel="00000000" w:rsidR="00000000" w:rsidRPr="00000000">
        <w:rPr>
          <w:highlight w:val="white"/>
          <w:rtl w:val="0"/>
        </w:rPr>
        <w:t xml:space="preserve">, the minority class is the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signal-limited</w:t>
      </w:r>
      <w:r w:rsidDel="00000000" w:rsidR="00000000" w:rsidRPr="00000000">
        <w:rPr>
          <w:highlight w:val="white"/>
          <w:rtl w:val="0"/>
        </w:rPr>
        <w:t xml:space="preserve"> class here — there are only about 2,900 Yes rows. Our bottleneck was minority-class recall, not majority-class coverage, so losing some No rows wasn't the limiting factor.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330" w:right="330" w:firstLine="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Second</w:t>
      </w:r>
      <w:r w:rsidDel="00000000" w:rsidR="00000000" w:rsidRPr="00000000">
        <w:rPr>
          <w:highlight w:val="white"/>
          <w:rtl w:val="0"/>
        </w:rPr>
        <w:t xml:space="preserve">, we tested all four balancing methods head-to-head. Undersampling produced a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mean Yes-TPR roughly double that of ROSE</w:t>
      </w:r>
      <w:r w:rsidDel="00000000" w:rsidR="00000000" w:rsidRPr="00000000">
        <w:rPr>
          <w:highlight w:val="white"/>
          <w:rtl w:val="0"/>
        </w:rPr>
        <w:t xml:space="preserve">, and it consistently beat SMOTE and oversampling on the dual-threshold target. The empirical result spoke for itself.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330" w:right="330" w:firstLine="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Third</w:t>
      </w:r>
      <w:r w:rsidDel="00000000" w:rsidR="00000000" w:rsidRPr="00000000">
        <w:rPr>
          <w:highlight w:val="white"/>
          <w:rtl w:val="0"/>
        </w:rPr>
        <w:t xml:space="preserve">, the Decision Tree's top splits latched onto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binary disability indicator features</w:t>
      </w:r>
      <w:r w:rsidDel="00000000" w:rsidR="00000000" w:rsidRPr="00000000">
        <w:rPr>
          <w:highlight w:val="white"/>
          <w:rtl w:val="0"/>
        </w:rPr>
        <w:t xml:space="preserve"> — variables like HHSEE, HHMEMRY, and HHCARE. Once the training data was 50/50 balanced, those binary splits aligned almost perfectly with the class boundary. Synthesized samples from SMOTE and ROSE actually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blurred</w:t>
      </w:r>
      <w:r w:rsidDel="00000000" w:rsidR="00000000" w:rsidRPr="00000000">
        <w:rPr>
          <w:highlight w:val="white"/>
          <w:rtl w:val="0"/>
        </w:rPr>
        <w:t xml:space="preserve"> those clean binary splits by creating non-binary interpolated values.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So yes, undersampling discards data — but it discards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redundant</w:t>
      </w:r>
      <w:r w:rsidDel="00000000" w:rsidR="00000000" w:rsidRPr="00000000">
        <w:rPr>
          <w:highlight w:val="white"/>
          <w:rtl w:val="0"/>
        </w:rPr>
        <w:t xml:space="preserve"> data and preserves the exact signal the model needs.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180" w:lineRule="auto"/>
        <w:ind w:left="270" w:right="270" w:firstLine="0"/>
        <w:rPr>
          <w:color w:val="ffffff"/>
          <w:sz w:val="20"/>
          <w:szCs w:val="20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Fallback one-liner if short on time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"Empirically it beat every other balancer on Yes-TPR, and it preserved the clean binary splits the Decision Tree relies on."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eo" w:cs="Geo" w:eastAsia="Geo" w:hAnsi="Geo"/>
          <w:b w:val="1"/>
          <w:bCs w:val="1"/>
          <w:i w:val="0"/>
          <w:iCs w:val="0"/>
          <w:color w:val="ffffff"/>
          <w:sz w:val="20"/>
          <w:szCs w:val="20"/>
          <w:rtl w:val="0"/>
        </w:rPr>
        <w:t xml:space="preserve">Q3</w:t>
      </w:r>
      <w:r w:rsidDel="00000000" w:rsidR="00000000" w:rsidRPr="00000000">
        <w:rPr>
          <w:rtl w:val="0"/>
        </w:rPr>
        <w:t xml:space="preserve">How would your model generalize to other Census years or states, and could it be deployed in practice?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/>
      </w:pPr>
      <w:r w:rsidDel="00000000" w:rsidR="00000000" w:rsidRPr="00000000">
        <w:rPr>
          <w:rtl w:val="0"/>
        </w:rPr>
        <w:t xml:space="preserve">Anticipated phrasing from audience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180" w:lineRule="auto"/>
        <w:ind w:left="270" w:right="270" w:firstLine="0"/>
        <w:rPr>
          <w:i w:val="1"/>
          <w:iCs w:val="1"/>
          <w:color w:val="5a3500"/>
          <w:shd w:fill="fff8f0" w:val="clear"/>
        </w:rPr>
      </w:pPr>
      <w:r w:rsidDel="00000000" w:rsidR="00000000" w:rsidRPr="00000000">
        <w:rPr>
          <w:i w:val="1"/>
          <w:iCs w:val="1"/>
          <w:color w:val="5a3500"/>
          <w:shd w:fill="fff8f0" w:val="clear"/>
          <w:rtl w:val="0"/>
        </w:rPr>
        <w:t xml:space="preserve">You evaluated on a holdout from 2023 data. Would this model work on the 2021 AHS or on data from a single state? And what would it take to deploy it?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/>
      </w:pPr>
      <w:r w:rsidDel="00000000" w:rsidR="00000000" w:rsidRPr="00000000">
        <w:rPr>
          <w:rtl w:val="0"/>
        </w:rPr>
        <w:t xml:space="preserve">Answer (~45 seconds)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270" w:lineRule="auto"/>
        <w:ind w:left="330" w:right="3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Honest answer: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we don't know for certain</w:t>
      </w:r>
      <w:r w:rsidDel="00000000" w:rsidR="00000000" w:rsidRPr="00000000">
        <w:rPr>
          <w:highlight w:val="white"/>
          <w:rtl w:val="0"/>
        </w:rPr>
        <w:t xml:space="preserve">, and that's an important caveat we'd flag in any real deployment. Here's what we can say.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330" w:right="330" w:firstLine="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On temporal generalization:</w:t>
      </w:r>
      <w:r w:rsidDel="00000000" w:rsidR="00000000" w:rsidRPr="00000000">
        <w:rPr>
          <w:highlight w:val="white"/>
          <w:rtl w:val="0"/>
        </w:rPr>
        <w:t xml:space="preserve"> the AHS schema is relatively stable across years, and our top predictors — HHSEE, HHMEMRY, HHCARE, HHERRND — are questionnaire items that exist in multiple survey years. So the model architecture should transfer, but we'd want to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retrain</w:t>
      </w:r>
      <w:r w:rsidDel="00000000" w:rsidR="00000000" w:rsidRPr="00000000">
        <w:rPr>
          <w:highlight w:val="white"/>
          <w:rtl w:val="0"/>
        </w:rPr>
        <w:t xml:space="preserve"> rather than reuse the fitted weights, because base rates shift slightly year over year.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330" w:right="330" w:firstLine="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On geographic generalization:</w:t>
      </w:r>
      <w:r w:rsidDel="00000000" w:rsidR="00000000" w:rsidRPr="00000000">
        <w:rPr>
          <w:highlight w:val="white"/>
          <w:rtl w:val="0"/>
        </w:rPr>
        <w:t xml:space="preserve"> the 2023 AHS samples nationally, so our model reflects a nationally-weighted distribution. A single state with very different demographics — say, a state with a much older population — would likely see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different calibration</w:t>
      </w:r>
      <w:r w:rsidDel="00000000" w:rsidR="00000000" w:rsidRPr="00000000">
        <w:rPr>
          <w:highlight w:val="white"/>
          <w:rtl w:val="0"/>
        </w:rPr>
        <w:t xml:space="preserve">, and we'd recommend refitting on state-level data if such data were available.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330" w:right="330" w:firstLine="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On deployment:</w:t>
      </w:r>
      <w:r w:rsidDel="00000000" w:rsidR="00000000" w:rsidRPr="00000000">
        <w:rPr>
          <w:highlight w:val="white"/>
          <w:rtl w:val="0"/>
        </w:rPr>
        <w:t xml:space="preserve"> honestly, a Yes-class precision of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0.47</w:t>
      </w:r>
      <w:r w:rsidDel="00000000" w:rsidR="00000000" w:rsidRPr="00000000">
        <w:rPr>
          <w:highlight w:val="white"/>
          <w:rtl w:val="0"/>
        </w:rPr>
        <w:t xml:space="preserve"> is too low for any high-stakes decision like benefit allocation. Our model is more useful as a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screening tool</w:t>
      </w:r>
      <w:r w:rsidDel="00000000" w:rsidR="00000000" w:rsidRPr="00000000">
        <w:rPr>
          <w:highlight w:val="white"/>
          <w:rtl w:val="0"/>
        </w:rPr>
        <w:t xml:space="preserve"> — flagging households for a human follow-up — than as an automated classifier. With a higher-precision stage after it, it could add real value.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180" w:lineRule="auto"/>
        <w:ind w:left="270" w:right="270" w:firstLine="0"/>
        <w:rPr>
          <w:color w:val="ffffff"/>
          <w:sz w:val="20"/>
          <w:szCs w:val="20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Fallback one-liner if short on time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"The features are stable across AHS years, so the architecture generalizes — but we'd retrain on new data, and the ~47% precision means it's a screening tool, not a deployment-ready classifier."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Delivery Tips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Acknowledge the question first</w:t>
      </w:r>
      <w:r w:rsidDel="00000000" w:rsidR="00000000" w:rsidRPr="00000000">
        <w:rPr>
          <w:rtl w:val="0"/>
        </w:rPr>
        <w:t xml:space="preserve"> — a brief "Great question" or "That's a fair concern" buys you two seconds to organize your thought.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Number your points out loud</w:t>
      </w:r>
      <w:r w:rsidDel="00000000" w:rsidR="00000000" w:rsidRPr="00000000">
        <w:rPr>
          <w:rtl w:val="0"/>
        </w:rPr>
        <w:t xml:space="preserve"> ("Three reasons...", "First... Second... Third...") — the audience remembers structured answers better.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Admit uncertainty when appropriate</w:t>
      </w:r>
      <w:r w:rsidDel="00000000" w:rsidR="00000000" w:rsidRPr="00000000">
        <w:rPr>
          <w:rtl w:val="0"/>
        </w:rPr>
        <w:t xml:space="preserve"> — saying "honestly, we don't know" about generalization is more credible than overclaiming.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Cap each answer at ~45 seconds</w:t>
      </w:r>
      <w:r w:rsidDel="00000000" w:rsidR="00000000" w:rsidRPr="00000000">
        <w:rPr>
          <w:rtl w:val="0"/>
        </w:rPr>
        <w:t xml:space="preserve"> — if you're running long, stop and offer to discuss offline.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Split Q&amp;A handling</w:t>
      </w:r>
      <w:r w:rsidDel="00000000" w:rsidR="00000000" w:rsidRPr="00000000">
        <w:rPr>
          <w:rtl w:val="0"/>
        </w:rPr>
        <w:t xml:space="preserve"> — Ho Man fields Preprocessing/Data questions; Weitao fields Results/Evaluation questions. If one of you is stuck, the other steps in.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Quick-Reference Cheat Sheet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0" w:right="0" w:firstLine="0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Keep these numbers on the lectern — interviewers love specific stats.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afbfd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</w:t>
            </w:r>
          </w:p>
        </w:tc>
        <w:tc>
          <w:tcPr>
            <w:shd w:fill="fafbfd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0" w:before="600" w:line="384.00000572204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fafbfd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Training rows</w:t>
            </w:r>
          </w:p>
        </w:tc>
        <w:tc>
          <w:tcPr>
            <w:tcBorders>
              <w:bottom w:color="000000" w:space="0" w:sz="6" w:val="single"/>
            </w:tcBorders>
            <w:shd w:fill="fafbfd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9,636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fafbfd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rows</w:t>
            </w:r>
          </w:p>
        </w:tc>
        <w:tc>
          <w:tcPr>
            <w:tcBorders>
              <w:bottom w:color="000000" w:space="0" w:sz="6" w:val="single"/>
            </w:tcBorders>
            <w:shd w:fill="fafbfd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2,409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fafbfd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Features after preprocessing</w:t>
            </w:r>
          </w:p>
        </w:tc>
        <w:tc>
          <w:tcPr>
            <w:tcBorders>
              <w:bottom w:color="000000" w:space="0" w:sz="6" w:val="single"/>
            </w:tcBorders>
            <w:shd w:fill="fafbfd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118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fafbfd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Class distribution</w:t>
            </w:r>
          </w:p>
        </w:tc>
        <w:tc>
          <w:tcPr>
            <w:tcBorders>
              <w:bottom w:color="000000" w:space="0" w:sz="6" w:val="single"/>
            </w:tcBorders>
            <w:shd w:fill="fafbfd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30.4% Yes / 69.6% No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fafbfd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Best model — Yes TPR</w:t>
            </w:r>
          </w:p>
        </w:tc>
        <w:tc>
          <w:tcPr>
            <w:tcBorders>
              <w:bottom w:color="000000" w:space="0" w:sz="6" w:val="single"/>
            </w:tcBorders>
            <w:shd w:fill="fafbfd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0.7730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fafbfd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Best model — No TPR</w:t>
            </w:r>
          </w:p>
        </w:tc>
        <w:tc>
          <w:tcPr>
            <w:tcBorders>
              <w:bottom w:color="000000" w:space="0" w:sz="6" w:val="single"/>
            </w:tcBorders>
            <w:shd w:fill="fafbfd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0.7322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fafbfd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Best model — AUC</w:t>
            </w:r>
          </w:p>
        </w:tc>
        <w:tc>
          <w:tcPr>
            <w:tcBorders>
              <w:bottom w:color="000000" w:space="0" w:sz="6" w:val="single"/>
            </w:tcBorders>
            <w:shd w:fill="fafbfd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0.7990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fafbfd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Best model — F1 (Yes)</w:t>
            </w:r>
          </w:p>
        </w:tc>
        <w:tc>
          <w:tcPr>
            <w:tcBorders>
              <w:bottom w:color="000000" w:space="0" w:sz="6" w:val="single"/>
            </w:tcBorders>
            <w:shd w:fill="fafbfd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0.6140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fafbfd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Best model — Kappa</w:t>
            </w:r>
          </w:p>
        </w:tc>
        <w:tc>
          <w:tcPr>
            <w:tcBorders>
              <w:bottom w:color="000000" w:space="0" w:sz="6" w:val="single"/>
            </w:tcBorders>
            <w:shd w:fill="fafbfd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0.4582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fafbfd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Extra-credit thresholds</w:t>
            </w:r>
          </w:p>
        </w:tc>
        <w:tc>
          <w:tcPr>
            <w:tcBorders>
              <w:bottom w:color="000000" w:space="0" w:sz="6" w:val="single"/>
            </w:tcBorders>
            <w:shd w:fill="fafbfd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 ≥ 0.77, No ≥ 0.73</w:t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0" w:before="600" w:line="384.00000572204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CS699 Data Mining  ·  Spring 2026  ·  Boston University Metropolitan College</w:t>
      </w:r>
    </w:p>
    <w:sectPr>
      <w:pgSz w:h="15840" w:w="14400" w:orient="portrait"/>
      <w:pgMar w:bottom="1200" w:top="600" w:left="450" w:right="4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Geo">
    <w:embedRegular w:fontKey="{00000000-0000-0000-0000-000000000000}" r:id="rId1" w:subsetted="0"/>
    <w:embedItalic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widowControl w:val="0"/>
        <w:spacing w:after="1200" w:before="600" w:line="384.0000057220459" w:lineRule="auto"/>
        <w:ind w:left="450" w:right="45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Rule="auto"/>
      <w:ind w:left="0" w:right="0" w:firstLine="0"/>
    </w:pPr>
    <w:rPr>
      <w:rFonts w:ascii="Geo" w:cs="Geo" w:eastAsia="Geo" w:hAnsi="Geo"/>
      <w:b w:val="1"/>
      <w:bCs w:val="1"/>
      <w:i w:val="0"/>
      <w:iCs w:val="0"/>
      <w:sz w:val="44"/>
      <w:szCs w:val="44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750" w:lineRule="auto"/>
      <w:ind w:left="240" w:right="240" w:firstLine="0"/>
    </w:pPr>
    <w:rPr>
      <w:rFonts w:ascii="Geo" w:cs="Geo" w:eastAsia="Geo" w:hAnsi="Geo"/>
      <w:b w:val="1"/>
      <w:bCs w:val="1"/>
      <w:i w:val="0"/>
      <w:iCs w:val="0"/>
      <w:sz w:val="30"/>
      <w:szCs w:val="30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Rule="auto"/>
      <w:ind w:left="0" w:right="0" w:firstLine="0"/>
    </w:pPr>
    <w:rPr>
      <w:b w:val="1"/>
      <w:bCs w:val="1"/>
      <w:i w:val="0"/>
      <w:iCs w:val="0"/>
      <w:sz w:val="22"/>
      <w:szCs w:val="22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eo-regular.ttf"/><Relationship Id="rId2" Type="http://schemas.openxmlformats.org/officeDocument/2006/relationships/font" Target="fonts/Ge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