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简 表</w:t>
      </w:r>
      <w:bookmarkStart w:id="0" w:name="_GoBack"/>
      <w:bookmarkEnd w:id="0"/>
    </w:p>
    <w:tbl>
      <w:tblPr>
        <w:tblStyle w:val="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8522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硬件环</w:t>
            </w:r>
            <w:r>
              <w:rPr>
                <w:rFonts w:ascii="Times New Roman" w:cs="Times New Roman"/>
              </w:rPr>
              <w:t>境（</w:t>
            </w:r>
            <w:r>
              <w:rPr>
                <w:rFonts w:ascii="Times New Roman" w:hAnsi="Times New Roman" w:cs="Times New Roman"/>
              </w:rPr>
              <w:t>CPU/GPU</w:t>
            </w:r>
            <w:r>
              <w:rPr>
                <w:rFonts w:ascii="Times New Roman" w:cs="Times New Roman"/>
              </w:rPr>
              <w:t>）</w:t>
            </w:r>
            <w:r>
              <w:rPr>
                <w:rFonts w:hint="eastAsia"/>
              </w:rPr>
              <w:t>：</w:t>
            </w:r>
          </w:p>
          <w:p>
            <w:r>
              <w:rPr>
                <w:rFonts w:hint="default" w:ascii="Times New Roman" w:hAnsi="Times New Roman" w:cs="Times New Roman"/>
                <w:lang w:val="en-US" w:eastAsia="zh-CN"/>
              </w:rPr>
              <w:t xml:space="preserve">CPU: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</w:rPr>
              <w:t>Intel(R) Core(TM) i5-8250U CPU @ 1.60GHz 1.80 GHz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GPU:  NVIDIA GeForce MX110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2" w:hRule="atLeast"/>
        </w:trPr>
        <w:tc>
          <w:tcPr>
            <w:tcW w:w="8522" w:type="dxa"/>
            <w:gridSpan w:val="2"/>
          </w:tcPr>
          <w:p>
            <w:r>
              <w:rPr>
                <w:rFonts w:hint="eastAsia"/>
              </w:rPr>
              <w:t>操作系统：</w:t>
            </w:r>
            <w:r>
              <w:rPr>
                <w:rFonts w:hint="eastAsia" w:ascii="Times New Roman" w:hAnsi="Times New Roman" w:cs="Times New Roman"/>
              </w:rPr>
              <w:t xml:space="preserve">Windows 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版本</w:t>
            </w:r>
            <w:r>
              <w:rPr>
                <w:rFonts w:hint="eastAsia" w:asciiTheme="minorEastAsia" w:hAnsiTheme="minorEastAsia" w:cstheme="minorEastAsia"/>
                <w:lang w:eastAsia="zh-CN"/>
              </w:rPr>
              <w:t>：</w:t>
            </w:r>
            <w:r>
              <w:rPr>
                <w:rFonts w:hint="eastAsia" w:ascii="Times New Roman" w:hAnsi="Times New Roman" w:cs="Times New Roman"/>
              </w:rPr>
              <w:t>Windows 10</w:t>
            </w:r>
            <w:r>
              <w:rPr>
                <w:rFonts w:hint="eastAsia" w:asciiTheme="minorEastAsia" w:hAnsiTheme="minorEastAsia" w:eastAsiaTheme="minorEastAsia" w:cstheme="minorEastAsia"/>
              </w:rPr>
              <w:t xml:space="preserve"> 专业版</w:t>
            </w:r>
          </w:p>
          <w:p>
            <w:pPr>
              <w:rPr>
                <w:rFonts w:hint="eastAsia" w:ascii="Times New Roman" w:hAnsi="Times New Roman" w:cs="Times New Roma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版本号</w:t>
            </w:r>
            <w:r>
              <w:rPr>
                <w:rFonts w:hint="eastAsia" w:asciiTheme="minorEastAsia" w:hAnsiTheme="minorEastAsia" w:cstheme="minorEastAsia"/>
                <w:lang w:eastAsia="zh-CN"/>
              </w:rPr>
              <w:t>：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2</w:t>
            </w:r>
            <w:r>
              <w:rPr>
                <w:rFonts w:hint="eastAsia" w:ascii="Times New Roman" w:hAnsi="Times New Roman" w:cs="Times New Roman"/>
              </w:rPr>
              <w:t>1H2</w:t>
            </w:r>
          </w:p>
          <w:p>
            <w:pPr>
              <w:rPr>
                <w:rFonts w:hint="eastAsia" w:ascii="Times New Roman" w:hAnsi="Times New Roman" w:cs="Times New Roma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操作系统内部版本</w:t>
            </w:r>
            <w:r>
              <w:rPr>
                <w:rFonts w:hint="eastAsia" w:asciiTheme="minorEastAsia" w:hAnsiTheme="minorEastAsia" w:cstheme="minorEastAsia"/>
                <w:lang w:eastAsia="zh-CN"/>
              </w:rPr>
              <w:t>：</w:t>
            </w:r>
            <w:r>
              <w:rPr>
                <w:rFonts w:hint="eastAsia" w:ascii="Times New Roman" w:hAnsi="Times New Roman" w:cs="Times New Roman"/>
              </w:rPr>
              <w:t>19044.2006</w:t>
            </w:r>
          </w:p>
          <w:p>
            <w:pPr>
              <w:rPr>
                <w:rFonts w:hint="eastAsia" w:ascii="Times New Roman" w:hAnsi="Times New Roman" w:cs="Times New Roma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体验</w:t>
            </w:r>
            <w:r>
              <w:rPr>
                <w:rFonts w:hint="eastAsia" w:asciiTheme="minorEastAsia" w:hAnsiTheme="minorEastAsia" w:cstheme="minorEastAsia"/>
                <w:lang w:eastAsia="zh-CN"/>
              </w:rPr>
              <w:t>：</w:t>
            </w:r>
            <w:r>
              <w:rPr>
                <w:rFonts w:hint="eastAsia" w:ascii="Times New Roman" w:hAnsi="Times New Roman" w:cs="Times New Roman"/>
              </w:rPr>
              <w:t>Windows Feature Experience Pack 120.2212.4180.0</w:t>
            </w:r>
          </w:p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9" w:hRule="atLeast"/>
        </w:trPr>
        <w:tc>
          <w:tcPr>
            <w:tcW w:w="8522" w:type="dxa"/>
            <w:gridSpan w:val="2"/>
          </w:tcPr>
          <w:p>
            <w:pPr>
              <w:rPr>
                <w:rFonts w:ascii="Times New Roman" w:cs="Times New Roman"/>
              </w:rPr>
            </w:pPr>
            <w:r>
              <w:rPr>
                <w:rFonts w:hint="eastAsia"/>
              </w:rPr>
              <w:t>采用的深度学习框架、工具、语言</w:t>
            </w:r>
            <w:r>
              <w:rPr>
                <w:rFonts w:ascii="Times New Roman" w:cs="Times New Roman"/>
              </w:rPr>
              <w:t>：</w:t>
            </w:r>
          </w:p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框架：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pytorch</w:t>
            </w:r>
          </w:p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工具：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pycharm、tensorboard、anaconda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语言：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python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48" w:hRule="atLeast"/>
        </w:trPr>
        <w:tc>
          <w:tcPr>
            <w:tcW w:w="8522" w:type="dxa"/>
            <w:gridSpan w:val="2"/>
          </w:tcPr>
          <w:p>
            <w:r>
              <w:rPr>
                <w:rFonts w:hint="eastAsia"/>
              </w:rPr>
              <w:t>任务描述/问题定义</w:t>
            </w:r>
            <w:r>
              <w:rPr>
                <w:rFonts w:ascii="Times New Roman" w:cs="Times New Roman"/>
              </w:rPr>
              <w:t>：（限</w:t>
            </w:r>
            <w:r>
              <w:rPr>
                <w:rFonts w:hint="eastAsia"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cs="Times New Roman"/>
              </w:rPr>
              <w:t>字）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图片进行分类，图片种类有五种，分别为雏菊、蒲公英、玫瑰、向日葵和郁金香，模型通过对共计三千余张的五类图片数据进行学习。学习后，可输入一张图片，经过模型运算，输出其属于五类花的概率值，并选出最大值作为预测结果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0" w:hRule="atLeast"/>
        </w:trPr>
        <w:tc>
          <w:tcPr>
            <w:tcW w:w="8522" w:type="dxa"/>
            <w:gridSpan w:val="2"/>
          </w:tcPr>
          <w:p>
            <w:r>
              <w:rPr>
                <w:rFonts w:hint="eastAsia"/>
              </w:rPr>
              <w:t>数据集及来源（相关链接）：</w:t>
            </w:r>
          </w:p>
          <w:p>
            <w:pPr>
              <w:ind w:firstLine="210" w:firstLineChars="100"/>
              <w:jc w:val="both"/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https://storage.googleapis.com/download.tensorflow.org/example_images/flower_photos.tgz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3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采用的深度学习模型：</w:t>
            </w:r>
          </w:p>
          <w:p>
            <w:pPr>
              <w:jc w:val="center"/>
              <w:rPr>
                <w:rFonts w:hint="eastAsia" w:ascii="Times New Roman" w:hAnsi="Times New Roman" w:cs="Times New Roman"/>
                <w:lang w:val="en-US" w:eastAsia="zh-CN"/>
              </w:rPr>
            </w:pP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MobileViT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模型提出的年份及发表的会议/期刊：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于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2022</w:t>
            </w:r>
            <w:r>
              <w:rPr>
                <w:rFonts w:hint="eastAsia"/>
                <w:lang w:val="en-US" w:eastAsia="zh-CN"/>
              </w:rPr>
              <w:t>年发表于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ICLR</w:t>
            </w:r>
            <w:r>
              <w:rPr>
                <w:rFonts w:hint="eastAsia"/>
                <w:lang w:val="en-US" w:eastAsia="zh-CN"/>
              </w:rPr>
              <w:t>会议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5" w:hRule="atLeast"/>
        </w:trPr>
        <w:tc>
          <w:tcPr>
            <w:tcW w:w="8522" w:type="dxa"/>
            <w:gridSpan w:val="2"/>
            <w:vAlign w:val="top"/>
          </w:tcPr>
          <w:p>
            <w:r>
              <w:rPr>
                <w:rFonts w:hint="eastAsia"/>
              </w:rPr>
              <w:t>最终设置的超参</w:t>
            </w:r>
            <w:r>
              <w:rPr>
                <w:rFonts w:ascii="Times New Roman" w:cs="Times New Roman"/>
              </w:rPr>
              <w:t>数（如</w:t>
            </w:r>
            <w:r>
              <w:rPr>
                <w:rFonts w:ascii="Times New Roman" w:hAnsi="Times New Roman" w:cs="Times New Roman"/>
              </w:rPr>
              <w:t xml:space="preserve">Learning rate, </w:t>
            </w:r>
            <w:r>
              <w:rPr>
                <w:rFonts w:hint="eastAsia"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>atch size</w:t>
            </w:r>
            <w:r>
              <w:rPr>
                <w:rFonts w:ascii="Times New Roman" w:cs="Times New Roman"/>
              </w:rPr>
              <w:t>等）：</w:t>
            </w:r>
          </w:p>
          <w:p>
            <w:pPr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ascii="Times New Roman" w:hAnsi="Times New Roman" w:cs="Times New Roman"/>
              </w:rPr>
              <w:t>Learning rate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 = 0.0002</w:t>
            </w:r>
          </w:p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Batch size = 8</w:t>
            </w:r>
          </w:p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 xml:space="preserve">num_heads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=8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(多头注意力的头数)</w:t>
            </w:r>
          </w:p>
          <w:p>
            <w:pPr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cls_dropout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 xml:space="preserve"> = 0.1(dopout的失活概率)</w:t>
            </w:r>
          </w:p>
          <w:p>
            <w:pPr>
              <w:rPr>
                <w:rFonts w:hint="default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Epoch=100(迭代次数)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3" w:hRule="atLeast"/>
        </w:trPr>
        <w:tc>
          <w:tcPr>
            <w:tcW w:w="8522" w:type="dxa"/>
            <w:gridSpan w:val="2"/>
            <w:vAlign w:val="top"/>
          </w:tcPr>
          <w:p>
            <w:r>
              <w:rPr>
                <w:rFonts w:hint="eastAsia"/>
              </w:rPr>
              <w:t>模型的效果（如准确率等与任务相关的评价指标）：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最终在测试集上的准确率为87.7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%</w:t>
            </w:r>
          </w:p>
        </w:tc>
      </w:tr>
    </w:tbl>
    <w:p/>
    <w:p/>
    <w:p/>
    <w:p/>
    <w:p/>
    <w:p/>
    <w:p/>
    <w:p/>
    <w:p>
      <w:pPr>
        <w:jc w:val="center"/>
        <w:rPr>
          <w:rFonts w:hint="eastAsia" w:ascii="宋体" w:hAnsi="宋体" w:eastAsia="宋体" w:cs="宋体"/>
          <w:sz w:val="44"/>
          <w:szCs w:val="44"/>
          <w:lang w:val="en-US" w:eastAsia="zh-CN"/>
        </w:rPr>
      </w:pPr>
      <w:r>
        <w:rPr>
          <w:rFonts w:hint="default" w:ascii="Times New Roman" w:hAnsi="Times New Roman" w:eastAsia="宋体" w:cs="Times New Roman"/>
          <w:sz w:val="44"/>
          <w:szCs w:val="44"/>
          <w:lang w:val="en-US" w:eastAsia="zh-CN"/>
        </w:rPr>
        <w:t>MobileVit</w:t>
      </w: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模型结构简介</w:t>
      </w:r>
    </w:p>
    <w:p>
      <w:pPr>
        <w:jc w:val="center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Style w:val="5"/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Style w:val="5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MobileVit</w:t>
      </w:r>
      <w:r>
        <w:rPr>
          <w:rFonts w:hint="eastAsia" w:ascii="宋体" w:hAnsi="宋体"/>
          <w:color w:val="000000"/>
          <w:sz w:val="24"/>
          <w:szCs w:val="24"/>
          <w:lang w:val="en-US" w:eastAsia="zh-CN"/>
        </w:rPr>
        <w:t>模型是对</w:t>
      </w:r>
      <w:r>
        <w:rPr>
          <w:rStyle w:val="5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Vision Transformer</w:t>
      </w:r>
      <w:r>
        <w:rPr>
          <w:rFonts w:hint="eastAsia" w:ascii="宋体" w:hAnsi="宋体"/>
          <w:color w:val="000000"/>
          <w:sz w:val="24"/>
          <w:szCs w:val="24"/>
          <w:lang w:val="en-US" w:eastAsia="zh-CN"/>
        </w:rPr>
        <w:t>和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>CNN</w:t>
      </w:r>
      <w:r>
        <w:rPr>
          <w:rFonts w:hint="eastAsia" w:ascii="宋体" w:hAnsi="宋体"/>
          <w:color w:val="000000"/>
          <w:sz w:val="24"/>
          <w:szCs w:val="24"/>
          <w:lang w:val="en-US" w:eastAsia="zh-CN"/>
        </w:rPr>
        <w:t>两种模型进行了混合使用,并参考了</w:t>
      </w:r>
      <w:r>
        <w:rPr>
          <w:rStyle w:val="5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MobileNetV2的设计优点</w:t>
      </w:r>
      <w:r>
        <w:rPr>
          <w:rFonts w:hint="eastAsia" w:ascii="宋体" w:hAnsi="宋体"/>
          <w:color w:val="000000"/>
          <w:sz w:val="24"/>
          <w:szCs w:val="24"/>
          <w:lang w:val="en-GB"/>
        </w:rPr>
        <w:t>。</w:t>
      </w:r>
      <w:r>
        <w:rPr>
          <w:rFonts w:hint="eastAsia" w:ascii="宋体" w:hAnsi="宋体"/>
          <w:color w:val="000000"/>
          <w:sz w:val="24"/>
          <w:szCs w:val="24"/>
          <w:lang w:val="en-US" w:eastAsia="zh-CN"/>
        </w:rPr>
        <w:t>这样的设计一定程度上减轻了</w:t>
      </w:r>
      <w:r>
        <w:rPr>
          <w:rStyle w:val="5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Vision Transformer中参数多，算力要求高，缺少归纳偏执和迁移到其他任务比较繁琐等问题，是Vision Transformer模型应用在移动端设备的。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ind w:firstLine="480" w:firstLineChars="200"/>
        <w:textAlignment w:val="auto"/>
        <w:rPr>
          <w:rFonts w:hint="eastAsia" w:ascii="宋体" w:hAnsi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/>
          <w:color w:val="000000"/>
          <w:sz w:val="24"/>
          <w:szCs w:val="24"/>
          <w:lang w:val="en-US" w:eastAsia="zh-CN"/>
        </w:rPr>
        <w:t>下面我会对该模型的结构进行介绍。这里需要说明的是，模型的复现与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>MobileVit</w:t>
      </w:r>
      <w:r>
        <w:rPr>
          <w:rFonts w:hint="eastAsia" w:ascii="宋体" w:hAnsi="宋体"/>
          <w:color w:val="000000"/>
          <w:sz w:val="24"/>
          <w:szCs w:val="24"/>
          <w:lang w:val="en-US" w:eastAsia="zh-CN"/>
        </w:rPr>
        <w:t>论文(</w:t>
      </w:r>
      <w:r>
        <w:rPr>
          <w:rStyle w:val="5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https://arxiv.org/abs/2110.02178</w:t>
      </w:r>
      <w:r>
        <w:rPr>
          <w:rFonts w:hint="eastAsia" w:ascii="宋体" w:hAnsi="宋体"/>
          <w:color w:val="000000"/>
          <w:sz w:val="24"/>
          <w:szCs w:val="24"/>
          <w:lang w:val="en-US" w:eastAsia="zh-CN"/>
        </w:rPr>
        <w:t>)的编码实现有一些差别。</w:t>
      </w:r>
    </w:p>
    <w:p>
      <w:pPr>
        <w:adjustRightInd w:val="0"/>
        <w:snapToGrid w:val="0"/>
        <w:spacing w:line="300" w:lineRule="auto"/>
        <w:jc w:val="center"/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rPr>
          <w:rFonts w:hint="default" w:ascii="宋体" w:hAnsi="宋体"/>
          <w:color w:val="000000"/>
          <w:sz w:val="21"/>
          <w:szCs w:val="21"/>
          <w:lang w:val="en-US" w:eastAsia="zh-CN"/>
        </w:rPr>
        <w:object>
          <v:shape id="_x0000_i1028" o:spt="75" type="#_x0000_t75" style="height:86.35pt;width:474.2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8" DrawAspect="Content" ObjectID="_1468075725" r:id="rId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Cs w:val="21"/>
        </w:rPr>
        <w:t>图1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 MobileVit模型整体架构图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100" w:afterLines="100" w:line="300" w:lineRule="auto"/>
        <w:ind w:firstLine="480" w:firstLineChars="200"/>
        <w:jc w:val="both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上图为MobileVit的整体架构图，图中ConV3-3和Conv1-1分别对应卷积核大小为1x1和3x3的卷积操作，LayerX和LayerY包含了一系列的卷积和transformer操作，具体结构将会在后面进行介绍。Classifier包含了全局池化操作和全连接操作。对于分辨率为224x224的三通道彩色图片，其经历一些列的卷积和transformer操作后，经过全连接和softmax后会得到5个种类花的概率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100" w:afterLines="100" w:line="300" w:lineRule="auto"/>
        <w:ind w:firstLine="480" w:firstLineChars="200"/>
        <w:jc w:val="both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其中LayerX包括Layer1和Layer2两个部分，Layer1中含有一个MV2模块，Layer2中含有两个MV2模块，需要注意的是，Layer2中的第一个MV2模块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不含有残差连接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。这里说明一下，含有残差连接的模块输入输出不会有分辨率的变化。因为单从图像矩阵大小的角度来看，3x3的卷积核对图像的下采样操作，会由于残差连接操作中和卷积前图像矩阵的加法操作而恢复原大小。而和原图像不含残差连接的输出分辨率会变为原来的四分之一。通道数也会相应增长。其中MV2的结构如图2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100" w:afterLines="100" w:line="300" w:lineRule="auto"/>
        <w:ind w:firstLine="480" w:firstLineChars="200"/>
        <w:jc w:val="center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object>
          <v:shape id="_x0000_i1026" o:spt="75" type="#_x0000_t75" style="height:353.5pt;width:272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spacing w:beforeLines="100" w:afterLines="100" w:line="300" w:lineRule="auto"/>
        <w:jc w:val="center"/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</w:rPr>
        <w:t>图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  MV2模块结构图（右侧为无残差结构的MV2）</w:t>
      </w:r>
    </w:p>
    <w:p>
      <w:pPr>
        <w:spacing w:beforeLines="100" w:afterLines="100" w:line="300" w:lineRule="auto"/>
        <w:ind w:firstLine="480" w:firstLineChars="20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LayerY包含Layer3、Layer4和Layer5三个层，这三个层的结构完全相同，都是由一个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无残差连接的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MV2模块和一个MobileViT block模块组成。MV2模块在前MobileViT block模块在后，下面将对MobileVit模块进行拆解，首先看一下MobileViT block模块的整体架构图3（该结构图采用的是论文中的图片</w:t>
      </w:r>
      <w:r>
        <w:rPr>
          <w:rStyle w:val="5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https://arxiv.org/abs/2110.02178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</w:pPr>
      <w:r>
        <w:drawing>
          <wp:inline distT="0" distB="0" distL="114300" distR="114300">
            <wp:extent cx="5269230" cy="1196975"/>
            <wp:effectExtent l="0" t="0" r="127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0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</w:rPr>
        <w:t>图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3  MV2模块结构图（右侧为无残差结构的MV2）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首先对图片中的参数进行解释，在源码实现中，n-n的卷积核都采用的3-3的卷积核。全局表征中的Transformer中的L为2。MobileViT中与Vision Transformer中的一大不同点是，取消了Vision Transformer中的位置编码，而是采用CNN具有空间归纳偏执的特点予以替代，并在使用多头多头自注意机制时，并没有将每个像素空间和其与像素空间进行计算，而是采用了先通过卷积进行局部表征，之后再将每个Patch进行展平，这样每个Patch只有相同位置的像素空间会进行多头自注意力操作，并且由于之前做过局部表征，不会对全局相关性产生影响。这样的操作减少了大量参数，并且在GPU并行流水线充足的情况下能够有更快的推理速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对于Transformer的实现也与论文中有所不同，下面给出源码中Transformer的结构图4。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center"/>
        <w:textAlignment w:val="auto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Cs w:val="21"/>
          <w:lang w:val="en-US" w:eastAsia="zh-CN"/>
        </w:rPr>
        <w:object>
          <v:shape id="_x0000_i1027" o:spt="75" type="#_x0000_t75" style="height:307.3pt;width:303.0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00" w:lineRule="auto"/>
        <w:jc w:val="center"/>
        <w:textAlignment w:val="auto"/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</w:rPr>
        <w:t>图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2.3  Transformer模块结构图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数据集采用的是包含五类花图片的花数据集。由于电脑配置较低，这个数据集更适合实验的进行，其中训练集包括2939张图片，测试集包括 731张图片。对于损失函数，采用的是交叉熵函数。</w:t>
      </w:r>
    </w:p>
    <w:p>
      <w:pPr>
        <w:jc w:val="both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FkMmEyZTk5NTQzZGQ2MjVhMDZlNDBiMDY5ZDcxYjgifQ=="/>
  </w:docVars>
  <w:rsids>
    <w:rsidRoot w:val="053C7DC9"/>
    <w:rsid w:val="053C7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annotation reference"/>
    <w:basedOn w:val="4"/>
    <w:qFormat/>
    <w:uiPriority w:val="0"/>
    <w:rPr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2022-10-27T13:39:00Z</dcterms:created>
  <dc:creator>20378</dc:creator>
  <cp:lastModifiedBy>20378</cp:lastModifiedBy>
  <dcterms:modified xsi:type="dcterms:W3CDTF">2022-10-27T14:36:14Z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5920BA2942184A31ADAEF16EA20E8F31</vt:lpwstr>
  </property>
</Properties>
</file>