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7A00"/>
          <w:sz w:val="20"/>
        </w:rPr>
        <w:t>KOBE’S BETTING HUB</w:t>
      </w:r>
    </w:p>
    <w:p>
      <w:pPr>
        <w:pStyle w:val="Title"/>
        <w:jc w:val="center"/>
      </w:pPr>
      <w:r>
        <w:t>CREATOR &amp; AFFILIATE PARTNERSHIP AGREEMENT</w:t>
      </w:r>
    </w:p>
    <w:p>
      <w:pPr>
        <w:jc w:val="center"/>
      </w:pPr>
      <w:r>
        <w:rPr>
          <w:i/>
          <w:color w:val="5D6675"/>
          <w:sz w:val="18"/>
        </w:rPr>
        <w:t>Draft for signature • Sports Centered</w:t>
      </w:r>
    </w:p>
    <w:tbl>
      <w:tblPr>
        <w:tblW w:type="auto" w:w="0"/>
        <w:jc w:val="center"/>
        <w:tblLayout w:type="fixed"/>
        <w:tblLook w:firstColumn="1" w:firstRow="1" w:lastColumn="0" w:lastRow="0" w:noHBand="0" w:noVBand="1" w:val="04A0"/>
        <w:tblBorders>
          <w:top w:val="single" w:sz="6" w:color="CCD5E3"/>
          <w:left w:val="single" w:sz="6" w:color="CCD5E3"/>
          <w:bottom w:val="single" w:sz="6" w:color="CCD5E3"/>
          <w:right w:val="single" w:sz="6" w:color="CCD5E3"/>
          <w:insideH w:val="single" w:sz="6" w:color="CCD5E3"/>
          <w:insideV w:val="single" w:sz="6" w:color="CCD5E3"/>
        </w:tblBorders>
      </w:tblPr>
      <w:tblGrid>
        <w:gridCol w:w="2520"/>
        <w:gridCol w:w="7560"/>
      </w:tblGrid>
      <w:tr>
        <w:tc>
          <w:tcPr>
            <w:tcW w:type="dxa" w:w="5083"/>
            <w:shd w:fill="EEF3FB"/>
            <w:tcMar>
              <w:top w:w="100" w:type="dxa"/>
              <w:start w:w="120" w:type="dxa"/>
              <w:bottom w:w="100" w:type="dxa"/>
              <w:end w:w="120" w:type="dxa"/>
            </w:tcMar>
            <w:vAlign w:val="center"/>
          </w:tcPr>
          <w:p>
            <w:r>
              <w:t>Effective date</w:t>
            </w:r>
          </w:p>
        </w:tc>
        <w:tc>
          <w:tcPr>
            <w:tcW w:type="dxa" w:w="5083"/>
            <w:tcMar>
              <w:top w:w="100" w:type="dxa"/>
              <w:start w:w="120" w:type="dxa"/>
              <w:bottom w:w="100" w:type="dxa"/>
              <w:end w:w="120" w:type="dxa"/>
            </w:tcMar>
            <w:vAlign w:val="center"/>
          </w:tcPr>
          <w:p>
            <w:r>
              <w:t>____________________</w:t>
            </w:r>
          </w:p>
        </w:tc>
      </w:tr>
      <w:tr>
        <w:tc>
          <w:tcPr>
            <w:tcW w:type="dxa" w:w="5083"/>
            <w:shd w:fill="EEF3FB"/>
            <w:tcMar>
              <w:top w:w="100" w:type="dxa"/>
              <w:start w:w="120" w:type="dxa"/>
              <w:bottom w:w="100" w:type="dxa"/>
              <w:end w:w="120" w:type="dxa"/>
            </w:tcMar>
            <w:vAlign w:val="center"/>
          </w:tcPr>
          <w:p>
            <w:r>
              <w:t>KBH</w:t>
            </w:r>
          </w:p>
        </w:tc>
        <w:tc>
          <w:tcPr>
            <w:tcW w:type="dxa" w:w="5083"/>
            <w:tcMar>
              <w:top w:w="100" w:type="dxa"/>
              <w:start w:w="120" w:type="dxa"/>
              <w:bottom w:w="100" w:type="dxa"/>
              <w:end w:w="120" w:type="dxa"/>
            </w:tcMar>
            <w:vAlign w:val="center"/>
          </w:tcPr>
          <w:p>
            <w:r>
              <w:t>Kobe’s Betting Hub, operated by ______________________________</w:t>
            </w:r>
          </w:p>
        </w:tc>
      </w:tr>
      <w:tr>
        <w:tc>
          <w:tcPr>
            <w:tcW w:type="dxa" w:w="5083"/>
            <w:shd w:fill="EEF3FB"/>
            <w:tcMar>
              <w:top w:w="100" w:type="dxa"/>
              <w:start w:w="120" w:type="dxa"/>
              <w:bottom w:w="100" w:type="dxa"/>
              <w:end w:w="120" w:type="dxa"/>
            </w:tcMar>
            <w:vAlign w:val="center"/>
          </w:tcPr>
          <w:p>
            <w:r>
              <w:t>Partner</w:t>
            </w:r>
          </w:p>
        </w:tc>
        <w:tc>
          <w:tcPr>
            <w:tcW w:type="dxa" w:w="5083"/>
            <w:tcMar>
              <w:top w:w="100" w:type="dxa"/>
              <w:start w:w="120" w:type="dxa"/>
              <w:bottom w:w="100" w:type="dxa"/>
              <w:end w:w="120" w:type="dxa"/>
            </w:tcMar>
            <w:vAlign w:val="center"/>
          </w:tcPr>
          <w:p>
            <w:r>
              <w:t>Sports Centered, operated by ______________________________</w:t>
            </w:r>
          </w:p>
        </w:tc>
      </w:tr>
      <w:tr>
        <w:tc>
          <w:tcPr>
            <w:tcW w:type="dxa" w:w="5083"/>
            <w:shd w:fill="EEF3FB"/>
            <w:tcMar>
              <w:top w:w="100" w:type="dxa"/>
              <w:start w:w="120" w:type="dxa"/>
              <w:bottom w:w="100" w:type="dxa"/>
              <w:end w:w="120" w:type="dxa"/>
            </w:tcMar>
            <w:vAlign w:val="center"/>
          </w:tcPr>
          <w:p>
            <w:r>
              <w:t>Partner contact</w:t>
            </w:r>
          </w:p>
        </w:tc>
        <w:tc>
          <w:tcPr>
            <w:tcW w:type="dxa" w:w="5083"/>
            <w:tcMar>
              <w:top w:w="100" w:type="dxa"/>
              <w:start w:w="120" w:type="dxa"/>
              <w:bottom w:w="100" w:type="dxa"/>
              <w:end w:w="120" w:type="dxa"/>
            </w:tcMar>
            <w:vAlign w:val="center"/>
          </w:tcPr>
          <w:p>
            <w:r>
              <w:t>Name: ____________________  Email: ____________________</w:t>
            </w:r>
          </w:p>
        </w:tc>
      </w:tr>
    </w:tbl>
    <w:p/>
    <w:p>
      <w:r>
        <w:t>This Agreement states the complete terms for Partner’s promotion of Kobe’s Betting Hub (“KBH”). It is intended as a practical business draft and should be reviewed by qualified counsel before signature.</w:t>
      </w:r>
    </w:p>
    <w:p>
      <w:pPr>
        <w:pStyle w:val="Heading1"/>
      </w:pPr>
      <w:r>
        <w:t>1. Appointment and scope</w:t>
      </w:r>
    </w:p>
    <w:p>
      <w:r>
        <w:t>KBH appoints Partner on a non-exclusive, revocable basis to promote KBH through Partner’s owned or authorized sports-media channels. Partner may create original variations, but no advertisement, caption, landing-page claim, testimonial, or material edit may go live until KBH approves the final version in writing.</w:t>
      </w:r>
    </w:p>
    <w:p>
      <w:pPr>
        <w:pStyle w:val="Heading1"/>
      </w:pPr>
      <w:r>
        <w:t>2. Approved tracking</w:t>
      </w:r>
    </w:p>
    <w:p>
      <w:r>
        <w:t>KBH will issue Partner a unique referral link and/or code. Partner must use that exact link or code in every promotion. Attribution applies only when a new customer completes a qualifying paid VIP membership through the assigned tracking path and the code is attached to checkout. An entered valid Partner code may override other campaign attribution. Lost, removed, altered, blocked, cross-device, or untracked journeys do not create a commission unless KBH can reasonably verify attribution from its records.</w:t>
      </w:r>
    </w:p>
    <w:p>
      <w:pPr>
        <w:pStyle w:val="Heading1"/>
      </w:pPr>
      <w:r>
        <w:t>3. Commission</w:t>
      </w:r>
    </w:p>
    <w:p>
      <w:r>
        <w:t>KBH will pay Partner a one-time $10.00 commission for each new qualifying paid VIP subscriber attributed to Partner; renewals do not earn additional commission unless the parties later agree in writing. A conversion qualifies only after KBH receives and retains the subscriber’s first successful paid membership charge through a commission-eligible offer and it passes a seven-day refund, dispute, and fraud review. Free accounts, trials that never convert, duplicate accounts, self-referrals, existing or returning customers, test transactions, complimentary access, fraud, refunds, disputes, and chargebacks do not qualify. A single customer/payment may earn only one partner commission.</w:t>
      </w:r>
    </w:p>
    <w:p>
      <w:pPr>
        <w:pStyle w:val="Heading1"/>
      </w:pPr>
      <w:r>
        <w:t>4. Reconciliation and payment</w:t>
      </w:r>
    </w:p>
    <w:p>
      <w:r>
        <w:t>KBH will reconcile qualifying conversions monthly and provide a partner-specific statement. Earned commissions will be paid after the applicable refund/chargeback review period and once any required payout and tax information is complete. Reversed or later-disputed payments may be withheld, offset against future commissions, or recovered where permitted by law. Partner must raise a statement dispute within 30 days after delivery.</w:t>
      </w:r>
    </w:p>
    <w:p>
      <w:pPr>
        <w:pStyle w:val="Heading1"/>
      </w:pPr>
      <w:r>
        <w:t>5. Creator and VIP access</w:t>
      </w:r>
    </w:p>
    <w:p>
      <w:r>
        <w:t>During the active partnership, KBH may provide designated Partner personnel complimentary creator/VIP Discord access solely to review the service and create accurate promotions. This access is not a paid membership, is non-transferable, creates no commission, and remains active only while this Agreement is in effect. KBH may suspend or remove it immediately for misuse, security concerns, inaccurate promotion, or termination. Partner will promptly identify anyone who no longer needs access.</w:t>
      </w:r>
    </w:p>
    <w:p>
      <w:pPr>
        <w:pStyle w:val="Heading1"/>
      </w:pPr>
      <w:r>
        <w:t>6. Advertising standards and disclosures</w:t>
      </w:r>
    </w:p>
    <w:p>
      <w:r>
        <w:t>Partner will make truthful, supportable statements and clearly disclose the paid relationship close to each endorsement (for example, “Paid partnership with Kobe’s Betting Hub” or “Ad — I may earn a commission for paid memberships through this link”). Partner will use available platform disclosure tools in addition to, not instead of, a clear disclosure in the content. Arbitrage monitoring must be described as a beta feature that identifies potential, time-sensitive opportunities and requires members to verify current lines before wagering. Partner will not claim or imply guaranteed winnings, risk-free betting, certain profit, insider information, fixed games, or a specific win rate unless KBH has supplied current written substantiation and approved the exact claim.</w:t>
      </w:r>
    </w:p>
    <w:p>
      <w:pPr>
        <w:pStyle w:val="Heading1"/>
      </w:pPr>
      <w:r>
        <w:t>7. Audience and responsible-gaming rules</w:t>
      </w:r>
    </w:p>
    <w:p>
      <w:r>
        <w:t>Partner will not knowingly target minors or persons below the legal betting age, will not target places where the promotion or service is unlawful, and will follow applicable platform, advertising, sports-wagering, and responsible-gaming requirements. Each promotion must include “21+ • Where legal • Bet responsibly • No guaranteed outcomes,” or another written form approved by KBH. Partner will not encourage chasing losses, borrowing to bet, or betting beyond a person’s means.</w:t>
      </w:r>
    </w:p>
    <w:p>
      <w:pPr>
        <w:pStyle w:val="Heading1"/>
      </w:pPr>
      <w:r>
        <w:t>8. Brand and content license</w:t>
      </w:r>
    </w:p>
    <w:p>
      <w:r>
        <w:t>KBH grants Partner a limited, non-exclusive, non-transferable, revocable license during the Term to use approved KBH names, logos, and assets only for this partnership. Partner may not alter the logo, register confusingly similar names, buy search terms using KBH’s marks without written approval, or imply ownership or agency. Partner retains its original content; Partner grants KBH a non-exclusive, worldwide, royalty-free license during the Term and for 12 months afterward to repost approved partnership content with attribution.</w:t>
      </w:r>
    </w:p>
    <w:p>
      <w:pPr>
        <w:pStyle w:val="Heading1"/>
      </w:pPr>
      <w:r>
        <w:t>9. Records, reporting, and data</w:t>
      </w:r>
    </w:p>
    <w:p>
      <w:r>
        <w:t>KBH’s tracking and payment records control absent clear error. KBH will provide Partner only Partner-specific activity and commission information; Partner receives no access to KBH’s full administrative dashboard, customer personal data, or other partners’ results. Each party will protect confidential information and use personal data only as authorized and legally permitted.</w:t>
      </w:r>
    </w:p>
    <w:p>
      <w:pPr>
        <w:pStyle w:val="Heading1"/>
      </w:pPr>
      <w:r>
        <w:t>10. Independent contractor; taxes</w:t>
      </w:r>
    </w:p>
    <w:p>
      <w:r>
        <w:t>Partner is an independent contractor and has no authority to bind KBH. Partner is responsible for its personnel, expenses, insurance, licenses, and taxes. KBH may require a completed Form W-9 and may issue tax reporting required by law.</w:t>
      </w:r>
    </w:p>
    <w:p>
      <w:pPr>
        <w:pStyle w:val="Heading1"/>
      </w:pPr>
      <w:r>
        <w:t>11. Term and termination</w:t>
      </w:r>
    </w:p>
    <w:p>
      <w:r>
        <w:t>This Agreement begins on the Effective Date and continues month-to-month. Either party may terminate it by written notice. KBH may terminate or suspend immediately for fraud, unauthorized claims, missing disclosures, legal or platform risk, brand misuse, data or security concerns, or material breach. On termination, Partner will stop using links and brand assets, remove scheduled promotions, and lose complimentary creator/VIP access. Valid commissions earned before termination remain payable subject to this Agreement’s exclusions and review period.</w:t>
      </w:r>
    </w:p>
    <w:p>
      <w:pPr>
        <w:pStyle w:val="Heading1"/>
      </w:pPr>
      <w:r>
        <w:t>12. Risk allocation</w:t>
      </w:r>
    </w:p>
    <w:p>
      <w:r>
        <w:t>Neither party promises any volume, conversion rate, audience response, revenue, betting outcome, or continued program availability. To the maximum extent permitted by law, neither party is liable for indirect, special, or consequential damages. Each party will be responsible for claims arising from its own breach, unlawful conduct, or unauthorized statements. Any broader indemnity, liability cap, or insurance requirement should be completed with counsel before signature.</w:t>
      </w:r>
    </w:p>
    <w:p>
      <w:pPr>
        <w:pStyle w:val="Heading1"/>
      </w:pPr>
      <w:r>
        <w:t>13. General terms</w:t>
      </w:r>
    </w:p>
    <w:p>
      <w:r>
        <w:t>This Agreement and approved written campaign instructions are the entire agreement on this partnership and may be changed only in writing accepted by both parties. Neither party may assign it without the other’s written consent, except in a business reorganization. If a provision is unenforceable, the remainder survives. Notices may be sent to the contact emails above. Governing law and venue: State of ____________________, County of ____________________. Electronic signatures and counterparts are permitted.</w:t>
      </w:r>
    </w:p>
    <w:p>
      <w:pPr>
        <w:pStyle w:val="Heading1"/>
      </w:pPr>
      <w:r>
        <w:t>Campaign schedule</w:t>
      </w:r>
    </w:p>
    <w:tbl>
      <w:tblPr>
        <w:tblW w:type="auto" w:w="0"/>
        <w:jc w:val="center"/>
        <w:tblLook w:firstColumn="1" w:firstRow="1" w:lastColumn="0" w:lastRow="0" w:noHBand="0" w:noVBand="1" w:val="04A0"/>
        <w:tblBorders>
          <w:top w:val="single" w:sz="6" w:color="CCD5E3"/>
          <w:left w:val="single" w:sz="6" w:color="CCD5E3"/>
          <w:bottom w:val="single" w:sz="6" w:color="CCD5E3"/>
          <w:right w:val="single" w:sz="6" w:color="CCD5E3"/>
          <w:insideH w:val="single" w:sz="6" w:color="CCD5E3"/>
          <w:insideV w:val="single" w:sz="6" w:color="CCD5E3"/>
        </w:tblBorders>
      </w:tblPr>
      <w:tblGrid>
        <w:gridCol w:w="5083"/>
        <w:gridCol w:w="5083"/>
      </w:tblGrid>
      <w:tr>
        <w:tc>
          <w:tcPr>
            <w:tcW w:type="dxa" w:w="5083"/>
            <w:shd w:fill="EEF3FB"/>
            <w:tcMar>
              <w:top w:w="100" w:type="dxa"/>
              <w:start w:w="120" w:type="dxa"/>
              <w:bottom w:w="100" w:type="dxa"/>
              <w:end w:w="120" w:type="dxa"/>
            </w:tcMar>
          </w:tcPr>
          <w:p>
            <w:r>
              <w:t>Commission</w:t>
            </w:r>
          </w:p>
        </w:tc>
        <w:tc>
          <w:tcPr>
            <w:tcW w:type="dxa" w:w="5083"/>
            <w:tcMar>
              <w:top w:w="100" w:type="dxa"/>
              <w:start w:w="120" w:type="dxa"/>
              <w:bottom w:w="100" w:type="dxa"/>
              <w:end w:w="120" w:type="dxa"/>
            </w:tcMar>
          </w:tcPr>
          <w:p>
            <w:r>
              <w:t>$10.00 per qualifying new paid VIP subscriber</w:t>
            </w:r>
          </w:p>
        </w:tc>
      </w:tr>
      <w:tr>
        <w:tc>
          <w:tcPr>
            <w:tcW w:type="dxa" w:w="5083"/>
            <w:shd w:fill="EEF3FB"/>
            <w:tcMar>
              <w:top w:w="100" w:type="dxa"/>
              <w:start w:w="120" w:type="dxa"/>
              <w:bottom w:w="100" w:type="dxa"/>
              <w:end w:w="120" w:type="dxa"/>
            </w:tcMar>
          </w:tcPr>
          <w:p>
            <w:r>
              <w:t>Current consumer offer</w:t>
            </w:r>
          </w:p>
        </w:tc>
        <w:tc>
          <w:tcPr>
            <w:tcW w:type="dxa" w:w="5083"/>
            <w:tcMar>
              <w:top w:w="100" w:type="dxa"/>
              <w:start w:w="120" w:type="dxa"/>
              <w:bottom w:w="100" w:type="dxa"/>
              <w:end w:w="120" w:type="dxa"/>
            </w:tcMar>
          </w:tcPr>
          <w:p>
            <w:r>
              <w:t>$19.99/month through October 22; then $32.99/month, subject to KBH’s written updates</w:t>
            </w:r>
          </w:p>
        </w:tc>
      </w:tr>
      <w:tr>
        <w:tc>
          <w:tcPr>
            <w:tcW w:type="dxa" w:w="5083"/>
            <w:shd w:fill="EEF3FB"/>
            <w:tcMar>
              <w:top w:w="100" w:type="dxa"/>
              <w:start w:w="120" w:type="dxa"/>
              <w:bottom w:w="100" w:type="dxa"/>
              <w:end w:w="120" w:type="dxa"/>
            </w:tcMar>
          </w:tcPr>
          <w:p>
            <w:r>
              <w:t>Tracking link/code</w:t>
            </w:r>
          </w:p>
        </w:tc>
        <w:tc>
          <w:tcPr>
            <w:tcW w:type="dxa" w:w="5083"/>
            <w:tcMar>
              <w:top w:w="100" w:type="dxa"/>
              <w:start w:w="120" w:type="dxa"/>
              <w:bottom w:w="100" w:type="dxa"/>
              <w:end w:w="120" w:type="dxa"/>
            </w:tcMar>
          </w:tcPr>
          <w:p>
            <w:r>
              <w:t>To be issued by KBH; use the exact assigned link/code</w:t>
            </w:r>
          </w:p>
        </w:tc>
      </w:tr>
      <w:tr>
        <w:tc>
          <w:tcPr>
            <w:tcW w:type="dxa" w:w="5083"/>
            <w:shd w:fill="EEF3FB"/>
            <w:tcMar>
              <w:top w:w="100" w:type="dxa"/>
              <w:start w:w="120" w:type="dxa"/>
              <w:bottom w:w="100" w:type="dxa"/>
              <w:end w:w="120" w:type="dxa"/>
            </w:tcMar>
          </w:tcPr>
          <w:p>
            <w:r>
              <w:t>Reconciliation</w:t>
            </w:r>
          </w:p>
        </w:tc>
        <w:tc>
          <w:tcPr>
            <w:tcW w:type="dxa" w:w="5083"/>
            <w:tcMar>
              <w:top w:w="100" w:type="dxa"/>
              <w:start w:w="120" w:type="dxa"/>
              <w:bottom w:w="100" w:type="dxa"/>
              <w:end w:w="120" w:type="dxa"/>
            </w:tcMar>
          </w:tcPr>
          <w:p>
            <w:r>
              <w:t>Monthly; partner-specific statement</w:t>
            </w:r>
          </w:p>
        </w:tc>
      </w:tr>
      <w:tr>
        <w:tc>
          <w:tcPr>
            <w:tcW w:type="dxa" w:w="5083"/>
            <w:shd w:fill="EEF3FB"/>
            <w:tcMar>
              <w:top w:w="100" w:type="dxa"/>
              <w:start w:w="120" w:type="dxa"/>
              <w:bottom w:w="100" w:type="dxa"/>
              <w:end w:w="120" w:type="dxa"/>
            </w:tcMar>
          </w:tcPr>
          <w:p>
            <w:r>
              <w:t>Creative approval</w:t>
            </w:r>
          </w:p>
        </w:tc>
        <w:tc>
          <w:tcPr>
            <w:tcW w:type="dxa" w:w="5083"/>
            <w:tcMar>
              <w:top w:w="100" w:type="dxa"/>
              <w:start w:w="120" w:type="dxa"/>
              <w:bottom w:w="100" w:type="dxa"/>
              <w:end w:w="120" w:type="dxa"/>
            </w:tcMar>
          </w:tcPr>
          <w:p>
            <w:r>
              <w:t>Written approval required before first publication and material edits</w:t>
            </w:r>
          </w:p>
        </w:tc>
      </w:tr>
      <w:tr>
        <w:tc>
          <w:tcPr>
            <w:tcW w:type="dxa" w:w="5083"/>
            <w:shd w:fill="EEF3FB"/>
            <w:tcMar>
              <w:top w:w="100" w:type="dxa"/>
              <w:start w:w="120" w:type="dxa"/>
              <w:bottom w:w="100" w:type="dxa"/>
              <w:end w:w="120" w:type="dxa"/>
            </w:tcMar>
          </w:tcPr>
          <w:p>
            <w:r>
              <w:t>Complimentary access</w:t>
            </w:r>
          </w:p>
        </w:tc>
        <w:tc>
          <w:tcPr>
            <w:tcW w:type="dxa" w:w="5083"/>
            <w:tcMar>
              <w:top w:w="100" w:type="dxa"/>
              <w:start w:w="120" w:type="dxa"/>
              <w:bottom w:w="100" w:type="dxa"/>
              <w:end w:w="120" w:type="dxa"/>
            </w:tcMar>
          </w:tcPr>
          <w:p>
            <w:r>
              <w:t>Active partnership only; removable at termination or for cause</w:t>
            </w:r>
          </w:p>
        </w:tc>
      </w:tr>
    </w:tbl>
    <w:p>
      <w:pPr>
        <w:pStyle w:val="Heading1"/>
      </w:pPr>
      <w:r>
        <w:t>Signatures</w:t>
      </w:r>
    </w:p>
    <w:tbl>
      <w:tblPr>
        <w:tblW w:type="auto" w:w="0"/>
        <w:jc w:val="center"/>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083"/>
        <w:gridCol w:w="5083"/>
      </w:tblGrid>
      <w:tr>
        <w:tc>
          <w:tcPr>
            <w:tcW w:type="dxa" w:w="5083"/>
            <w:tcMar>
              <w:top w:w="120" w:type="dxa"/>
              <w:start w:w="140" w:type="dxa"/>
              <w:bottom w:w="120" w:type="dxa"/>
              <w:end w:w="140" w:type="dxa"/>
            </w:tcMar>
          </w:tcPr>
          <w:p>
            <w:r>
              <w:t>KOBE’S BETTING HUB</w:t>
            </w:r>
          </w:p>
        </w:tc>
        <w:tc>
          <w:tcPr>
            <w:tcW w:type="dxa" w:w="5083"/>
            <w:tcMar>
              <w:top w:w="120" w:type="dxa"/>
              <w:start w:w="140" w:type="dxa"/>
              <w:bottom w:w="120" w:type="dxa"/>
              <w:end w:w="140" w:type="dxa"/>
            </w:tcMar>
          </w:tcPr>
          <w:p>
            <w:r>
              <w:t>SPORTS CENTERED</w:t>
            </w:r>
          </w:p>
        </w:tc>
      </w:tr>
      <w:tr>
        <w:tc>
          <w:tcPr>
            <w:tcW w:type="dxa" w:w="5083"/>
            <w:tcMar>
              <w:top w:w="120" w:type="dxa"/>
              <w:start w:w="140" w:type="dxa"/>
              <w:bottom w:w="120" w:type="dxa"/>
              <w:end w:w="140" w:type="dxa"/>
            </w:tcMar>
          </w:tcPr>
          <w:p>
            <w:r>
              <w:t>By: ______________________________</w:t>
            </w:r>
          </w:p>
        </w:tc>
        <w:tc>
          <w:tcPr>
            <w:tcW w:type="dxa" w:w="5083"/>
            <w:tcMar>
              <w:top w:w="120" w:type="dxa"/>
              <w:start w:w="140" w:type="dxa"/>
              <w:bottom w:w="120" w:type="dxa"/>
              <w:end w:w="140" w:type="dxa"/>
            </w:tcMar>
          </w:tcPr>
          <w:p>
            <w:r>
              <w:t>By: ______________________________</w:t>
            </w:r>
          </w:p>
        </w:tc>
      </w:tr>
      <w:tr>
        <w:tc>
          <w:tcPr>
            <w:tcW w:type="dxa" w:w="5083"/>
            <w:tcMar>
              <w:top w:w="120" w:type="dxa"/>
              <w:start w:w="140" w:type="dxa"/>
              <w:bottom w:w="120" w:type="dxa"/>
              <w:end w:w="140" w:type="dxa"/>
            </w:tcMar>
          </w:tcPr>
          <w:p>
            <w:r>
              <w:t>Name/Title: _______________________</w:t>
            </w:r>
          </w:p>
        </w:tc>
        <w:tc>
          <w:tcPr>
            <w:tcW w:type="dxa" w:w="5083"/>
            <w:tcMar>
              <w:top w:w="120" w:type="dxa"/>
              <w:start w:w="140" w:type="dxa"/>
              <w:bottom w:w="120" w:type="dxa"/>
              <w:end w:w="140" w:type="dxa"/>
            </w:tcMar>
          </w:tcPr>
          <w:p>
            <w:r>
              <w:t>Name/Title: _______________________</w:t>
            </w:r>
          </w:p>
        </w:tc>
      </w:tr>
      <w:tr>
        <w:tc>
          <w:tcPr>
            <w:tcW w:type="dxa" w:w="5083"/>
            <w:tcMar>
              <w:top w:w="120" w:type="dxa"/>
              <w:start w:w="140" w:type="dxa"/>
              <w:bottom w:w="120" w:type="dxa"/>
              <w:end w:w="140" w:type="dxa"/>
            </w:tcMar>
          </w:tcPr>
          <w:p>
            <w:r>
              <w:t>Date: _____________________________</w:t>
            </w:r>
          </w:p>
        </w:tc>
        <w:tc>
          <w:tcPr>
            <w:tcW w:type="dxa" w:w="5083"/>
            <w:tcMar>
              <w:top w:w="120" w:type="dxa"/>
              <w:start w:w="140" w:type="dxa"/>
              <w:bottom w:w="120" w:type="dxa"/>
              <w:end w:w="140" w:type="dxa"/>
            </w:tcMar>
          </w:tcPr>
          <w:p>
            <w:r>
              <w:t>Date: _____________________________</w:t>
            </w:r>
          </w:p>
        </w:tc>
      </w:tr>
    </w:tbl>
    <w:sectPr w:rsidR="00FC693F" w:rsidRPr="0006063C" w:rsidSect="00034616">
      <w:footerReference w:type="default" r:id="rId9"/>
      <w:pgSz w:w="12240" w:h="15840"/>
      <w:pgMar w:top="749" w:right="1037" w:bottom="936"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675"/>
        <w:sz w:val="16"/>
      </w:rPr>
      <w:t>Kobe’s Betting Hub • Creator &amp; Affiliate Partnership Agreement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14182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ptos" w:hAnsi="Aptos"/>
      <w:b/>
      <w:bCs/>
      <w:color w:val="1056D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182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182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