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Corp was founded in 2015 in Berlin, Germany.</w:t>
      </w:r>
    </w:p>
    <w:p>
      <w:r>
        <w:t>The company's flagship product is the X1 environmental sensor.</w:t>
      </w:r>
    </w:p>
    <w:p>
      <w:r>
        <w:t>The X1 sensor offers 18 months of battery life and a wireless range of 100 meters.</w:t>
      </w:r>
    </w:p>
    <w:p>
      <w:r>
        <w:t>Full-time employees receive 25 days of paid annual leave per year.</w:t>
      </w:r>
    </w:p>
    <w:p>
      <w:r>
        <w:t>The chief executive officer is Jane Smith.</w:t>
      </w:r>
    </w:p>
    <w:p>
      <w:r>
        <w:t>Third-quarter revenue grew 12 percent year over year to 48 million dollars, led by the APAC region.</w:t>
      </w:r>
    </w:p>
    <w:p>
      <w:r>
        <w:t>All API access requires JSON Web Token 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