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0A8" w:rsidRDefault="00B14620">
      <w:r>
        <w:t>Notes on Gust Processing Data</w:t>
      </w:r>
    </w:p>
    <w:p w:rsidR="00B14620" w:rsidRDefault="00B14620">
      <w:r>
        <w:t>The max wind gust responses were split into two primary groups; before and after November 1</w:t>
      </w:r>
      <w:r w:rsidRPr="00B14620">
        <w:rPr>
          <w:vertAlign w:val="superscript"/>
        </w:rPr>
        <w:t>st</w:t>
      </w:r>
      <w:r>
        <w:t xml:space="preserve"> 2017. Splitting was done in response to stability concerns with the anchor rod gauges in the winter. </w:t>
      </w:r>
    </w:p>
    <w:p w:rsidR="00B14620" w:rsidRDefault="00B14620">
      <w:r>
        <w:t>Min and max strains (tension and compression) were read out from the raw data into an excel file. From that, the days with the maximum wind gusts, or overall high induced strains were found. Note that not all of the extreme strains occurred on the same day</w:t>
      </w:r>
      <w:r w:rsidR="007223C3">
        <w:t xml:space="preserve"> due to wind directionality</w:t>
      </w:r>
      <w:r>
        <w:t xml:space="preserve">, so </w:t>
      </w:r>
      <w:r w:rsidR="007223C3">
        <w:t xml:space="preserve">overall trends were used. </w:t>
      </w:r>
      <w:bookmarkStart w:id="0" w:name="_GoBack"/>
      <w:bookmarkEnd w:id="0"/>
    </w:p>
    <w:sectPr w:rsidR="00B1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A5"/>
    <w:rsid w:val="004739A5"/>
    <w:rsid w:val="007223C3"/>
    <w:rsid w:val="00B14620"/>
    <w:rsid w:val="00F4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AF83"/>
  <w15:chartTrackingRefBased/>
  <w15:docId w15:val="{E1F148BD-FA30-46C9-AB16-CAD7275A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Zachary D [CCE E]</dc:creator>
  <cp:keywords/>
  <dc:description/>
  <cp:lastModifiedBy>Dietrich, Zachary D [CCE E]</cp:lastModifiedBy>
  <cp:revision>2</cp:revision>
  <dcterms:created xsi:type="dcterms:W3CDTF">2020-06-04T17:08:00Z</dcterms:created>
  <dcterms:modified xsi:type="dcterms:W3CDTF">2020-06-04T17:19:00Z</dcterms:modified>
</cp:coreProperties>
</file>