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科研数据分析报告</w:t>
      </w:r>
    </w:p>
    <w:p>
      <w:pPr>
        <w:pStyle w:val="Heading1"/>
      </w:pPr>
      <w:r>
        <w:t>分析决策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descriptive: 基础分析，所有论文必备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normality: 决定参数/非参数检验选择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group_comparison: 检测到2个季节组(冬季,春季)，需检验差异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correlation: 25个变量，适合做相关性分析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pca: 40个样本×25个变量，适合降维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hca: 40个样本，适合聚类分析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regression: 发现3对有科研意义的变量组合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✓ carbon_balance: 检测到2相碳数据，可做碳平衡分析</w:t>
      </w:r>
    </w:p>
    <w:p>
      <w:pPr>
        <w:pStyle w:val="Heading1"/>
      </w:pPr>
      <w:r>
        <w:t>Descriptive Text</w:t>
      </w:r>
    </w:p>
    <w:p>
      <w:pPr>
        <w:pStyle w:val="Heading3"/>
      </w:pPr>
      <w:r>
        <w:t>描述性统计结果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(ppm)的变化范围为0.63~2052.39，平均值为89.72±339.99(n=40)，变异系数CV=378.9%，属于高变异。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N$_2$O (ppm)的变化范围为0.38~1.24，平均值为0.45±0.19(n=20)，变异系数CV=41.3%，属于中等变异。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CO$_2$ (ppm)的变化范围为566.08~19234.54，平均值为2003.55±3261.23(n=39)，变异系数CV=162.8%，属于高变异。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CO2本底值的变化范围为450.00~736.00，平均值为594.08±75.63(n=40)，变异系数CV=12.7%，属于低变异。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O$_2$ (%vol)的变化范围为20.90~25.00，平均值为22.01±0.93(n=40)，变异系数CV=4.2%，属于低变异。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O2本底值的变化范围为20.90~20.90，平均值为20.90±0.00(n=40)，变异系数CV=0.0%，属于低变异。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 (ppb)的变化范围为238.00~869.00，平均值为512.62±160.54(n=40)，变异系数CV=31.3%，属于中等变异。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VOCs本底值的变化范围为79.00~330.00，平均值为214.25±81.93(n=40)，变异系数CV=38.2%，属于中等变异。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气温（℃）的变化范围为1.00~18.00，平均值为11.35±6.59(n=40)，变异系数CV=58.1%，属于中等变异。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 (mg/L)的变化范围为0.95~10.45，平均值为4.80±2.26(n=18)，变异系数CV=47.0%，属于中等变异。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 (mg/L)的变化范围为330.00~873.00，平均值为499.59±151.25(n=17)，变异系数CV=30.3%，属于中等变异。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 (μS/cm)的变化范围为21.65~1279.00，平均值为777.37±288.13(n=18)，变异系数CV=37.1%，属于中等变异。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水温 (℃)的变化范围为8.10~20.30，平均值为15.42±3.30(n=18)，变异系数CV=21.4%，属于低变异。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pH的变化范围为6.48~9.25，平均值为7.79±0.85(n=18)，变异系数CV=11.0%，属于低变异。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H$_2$S的变化范围为1.20~5.00，平均值为2.53±2.14(n=3)，变异系数CV=84.4%，属于中等变异。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 (mg/L)的变化范围为8.98~124.00，平均值为44.52±30.95(n=18)，变异系数CV=69.5%，属于中等变异。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 (mg/L)的变化范围为43.46~203.28，平均值为114.87±44.58(n=18)，变异系数CV=38.8%，属于中等变异。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 (mg/L)的变化范围为25.61~129.30，平均值为70.34±27.69(n=18)，变异系数CV=39.4%，属于中等变异。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TN (mg/L)的变化范围为5.01~124.82，平均值为46.79±39.39(n=18)，变异系数CV=84.2%，属于中等变异。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TP (mg/L)的变化范围为0.23~8.40，平均值为3.86±2.83(n=18)，变异系数CV=73.3%，属于中等变异。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NH$_4^+$ (mg/L)的变化范围为0.06~114.05，平均值为36.72±37.84(n=18)，变异系数CV=103.1%，属于高变异。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NO$_3^-$ (mg/L)的变化范围为0.01~3.41，平均值为0.88±1.15(n=18)，变异系数CV=130.4%，属于高变异。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 (mg/L)的变化范围为14.06~12139.18，平均值为1130.34±2802.51(n=18)，变异系数CV=247.9%，属于高变异。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采样时间的变化范围为1.15~4.80，平均值为2.80±1.67(n=40)，变异系数CV=59.5%，属于中等变异。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NO2（ppm）的变化范围为0.21~19.66，平均值为1.96±4.26(n=20)，变异系数CV=217.3%，属于高变异。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固相TC (g/kg)的变化范围为95.27~299.46，平均值为197.36±144.38(n=2)，变异系数CV=73.2%，属于中等变异。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DOC (mg/kg)的变化范围为151.79~6513.93，平均值为3332.86±4498.71(n=2)，变异系数CV=135.0%，属于高变异。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固相TP (g/kg)的变化范围为1.54~2.67，平均值为2.10±0.80(n=2)，变异系数CV=38.0%，属于中等变异。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固相TOC (g/kg)的变化范围为35.72~205.91，平均值为120.81±120.34(n=2)，变异系数CV=99.6%，属于中等变异。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固相IC (g/kg)的变化范围为8.41~9.15，平均值为8.78±0.52(n=2)，变异系数CV=6.0%，属于低变异。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固相NH$_4^+$ (mg/kg)的变化范围为3.90~953.79，平均值为478.84±671.67(n=2)，变异系数CV=140.3%，属于高变异。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固相NO$_3^-$ (mg/kg)的变化范围为1.13~1.39，平均值为1.26±0.18(n=2)，变异系数CV=14.6%，属于低变异。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按季节分组：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(ppm)：冬季(2.38±0.43)，春季(177.07±470.33)。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N$_2$O (ppm)：冬季(0.45±0.19)，春季(nan±nan)。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CO$_2$ (ppm)：冬季(1289.21±748.15)，春季(2682.18±4443.64)。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CO2本底值：冬季(638.00±21.71)，春季(550.15±84.89)。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O$_2$ (%vol)：冬季(22.22±1.07)，春季(21.80±0.74)。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O2本底值：冬季(20.90±0.00)，春季(20.90±0.00)。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TOC_CO2回归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图10 </w:t>
      </w:r>
      <w:r>
        <w:rPr>
          <w:rFonts w:ascii="宋体" w:hAnsi="宋体" w:eastAsia="宋体"/>
          <w:b w:val="0"/>
          <w:sz w:val="20"/>
        </w:rPr>
        <w:t>_TOC_CO2回归</w:t>
      </w:r>
    </w:p>
    <w:p>
      <w:pPr>
        <w:pStyle w:val="Heading1"/>
      </w:pPr>
      <w:r>
        <w:t>Normality Text</w:t>
      </w:r>
    </w:p>
    <w:p>
      <w:pPr>
        <w:pStyle w:val="Heading3"/>
      </w:pPr>
      <w:r>
        <w:t>正态性检验结果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Shapiro-Wilk正态性检验结果表明，11个变量符合正态分布(p&gt;0.05)，14个变量不符合正态分布(p≤0.05)。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非正态变量包括：CH$_4$ (ppm)、N$_2$O (ppm)、CO$_2$ (ppm)、CO2本底值、O$_2$ (%vol)等。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对于非正态分布的变量，后续组间比较采用Mann-Whitney U非参数检验。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3_TN_TOC回归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图13 </w:t>
      </w:r>
      <w:r>
        <w:rPr>
          <w:rFonts w:ascii="宋体" w:hAnsi="宋体" w:eastAsia="宋体"/>
          <w:b w:val="0"/>
          <w:sz w:val="20"/>
        </w:rPr>
        <w:t>_TN_TOC回归</w:t>
      </w:r>
    </w:p>
    <w:p>
      <w:pPr>
        <w:pStyle w:val="Heading1"/>
      </w:pPr>
      <w:r>
        <w:t>Comparison Text</w:t>
      </w:r>
    </w:p>
    <w:p>
      <w:pPr>
        <w:pStyle w:val="Heading3"/>
      </w:pPr>
      <w:r>
        <w:t>组间差异分析结果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组间比较结果显示，9个变量在不同季节之间存在显著差异，13个变量的季节差异不显著。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(ppm)在春季(177.07)显著高于冬季(2.38)(Mann-Whitney U，p=0.0193*)。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CO2本底值在冬季(638.00)显著高于春季(550.15)(Mann-Whitney U，p=0.0001***)。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 (ppb)在冬季(598.50)显著高于春季(426.75)(t检验，p=0.0003***)。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VOCs本底值在冬季(286.70)显著高于春季(141.80)(Mann-Whitney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气温（℃）在春季(16.05)显著高于冬季(6.65)(Mann-Whitney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水温 (℃)在春季(17.24)显著高于冬季(13.15)(t检验，p=0.0048**)。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NO$_3^-$ (mg/L)在冬季(1.36)显著高于春季(0.49)(Mann-Whitney U，p=0.0182*)。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 (mg/L)在冬季(2426.38)显著高于春季(93.51)(Mann-Whitney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采样时间在春季(4.43)显著高于冬季(1.17)(Mann-Whitney U，p=0.0000***)。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8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三相碳组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 </w:t>
      </w:r>
      <w:r>
        <w:rPr>
          <w:rFonts w:ascii="宋体" w:hAnsi="宋体" w:eastAsia="宋体"/>
          <w:b w:val="0"/>
          <w:sz w:val="20"/>
        </w:rPr>
        <w:t>_三相碳组成</w:t>
      </w:r>
    </w:p>
    <w:p>
      <w:pPr>
        <w:pStyle w:val="Heading1"/>
      </w:pPr>
      <w:r>
        <w:t>Correlation Text</w:t>
      </w:r>
    </w:p>
    <w:p>
      <w:pPr>
        <w:pStyle w:val="Heading3"/>
      </w:pPr>
      <w:r>
        <w:t>相关性分析结果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Pearson相关性分析结果如图X所示。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显著正相关：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N$_2$O (ppm)与NaCl (mg/L)呈显著正相关(r=0.803, p*)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N$_2$O (ppm)与TP (mg/L)呈显著正相关(r=0.716, p*)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CO$_2$ (ppm)与NO2（ppm）呈显著正相关(r=0.922,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VOCs (ppb)与VOCs本底值呈显著正相关(r=0.721,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气温（℃）与采样时间呈显著正相关(r=0.712, p***)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显著负相关：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CO2本底值与采样时间呈显著负相关(r=-0.622,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VOCs本底值与采样时间呈显著负相关(r=-0.893,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电导率 (μS/cm)与COD (mg/L)呈显著负相关(r=-0.627, p**)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水温 (℃)与IC (mg/L)呈显著负相关(r=-0.609, p**)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1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气体浓度箱线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图4 </w:t>
      </w:r>
      <w:r>
        <w:rPr>
          <w:rFonts w:ascii="宋体" w:hAnsi="宋体" w:eastAsia="宋体"/>
          <w:b w:val="0"/>
          <w:sz w:val="20"/>
        </w:rPr>
        <w:t>_气体浓度箱线图</w:t>
      </w:r>
    </w:p>
    <w:p>
      <w:pPr>
        <w:pStyle w:val="Heading1"/>
      </w:pPr>
      <w:r>
        <w:t>Regression Text</w:t>
      </w:r>
    </w:p>
    <w:p>
      <w:pPr>
        <w:pStyle w:val="Heading3"/>
      </w:pPr>
      <w:r>
        <w:t>回归分析结果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36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液相指标箱线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图5 </w:t>
      </w:r>
      <w:r>
        <w:rPr>
          <w:rFonts w:ascii="宋体" w:hAnsi="宋体" w:eastAsia="宋体"/>
          <w:b w:val="0"/>
          <w:sz w:val="20"/>
        </w:rPr>
        <w:t>_液相指标箱线图</w:t>
      </w:r>
    </w:p>
    <w:p>
      <w:pPr>
        <w:pStyle w:val="Heading1"/>
      </w:pPr>
      <w:r>
        <w:t>Carbon Balance Text</w:t>
      </w:r>
    </w:p>
    <w:p>
      <w:pPr>
        <w:pStyle w:val="Heading3"/>
      </w:pPr>
      <w:r>
        <w:t>碳平衡分析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371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相关性热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3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图6 </w:t>
      </w:r>
      <w:r>
        <w:rPr>
          <w:rFonts w:ascii="宋体" w:hAnsi="宋体" w:eastAsia="宋体"/>
          <w:b w:val="0"/>
          <w:sz w:val="20"/>
        </w:rPr>
        <w:t>_相关性热图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固液气三相碳污染物组成比例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图中数值表示各相态碳含量占总碳的百分比。碳含量为各采样点的算术平均值。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冬春季CH$_4$ (ppm), N$_2$O (ppm), CO$_2$ (ppm), CO2本底值箱线图比较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箱线图展示中位数、四分位距和异常值。星号表示Mann-Whitney U检验显著性：* p&lt;0.05，** p&lt;0.01，*** p&lt;0.001。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冬春季DO (mg/L), NaCl (mg/L), 电导率 (μS/cm), 水温 (℃)箱线图比较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箱线图展示中位数、四分位距和异常值。星号表示Mann-Whitney U检验显著性：* p&lt;0.05，** p&lt;0.01，*** p&lt;0.001。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Pearson相关性矩阵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颜色深浅表示相关系数大小，红色为正相关，蓝色为负相关。* p&lt;0.05，** p&lt;0.01，*** p&lt;0.001。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主成分分析(PCA)双标图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PC1和PC2分别解释了0.0%和0.0%的方差。箭头表示变量在主成分空间中的载荷方向和大小。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层次聚类分析(HCA)树状图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采用Ward连接法，距离度量为欧氏距离。截断线位置表示聚类数目。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图X X与Y的线性回归关系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实线为回归拟合线，阴影区域为95%置信区间。R²=0.000，p=1.0000。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