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【目的】 污水管网是城市碳排放的重要来源，但现有研究多关注单一相态碳污染物，缺乏对固-液-气三相碳污染物的系统联合分析，尤其在校园尺度上的碳赋存特征与驱动机制尚不明确。本研究旨在系统表征校园污水管网固-液-气多相态碳污染物的赋存特征、空间分异及其驱动因素，为校园污水碳减排提供科学依据。</w:t>
      </w:r>
    </w:p>
    <w:p>
      <w:pPr>
        <w:spacing w:before="0" w:after="120"/>
        <w:ind w:firstLine="480"/>
      </w:pPr>
      <w:r>
        <w:rPr>
          <w:rFonts w:ascii="宋体" w:hAnsi="宋体" w:eastAsia="宋体"/>
          <w:b w:val="0"/>
          <w:sz w:val="24"/>
        </w:rPr>
        <w:t>【方法】 以某校园污水管网为研究对象，在教学区、生活区、餐饮区和管口出口设置采样点，覆盖冬、春两季，同步采集固相、液相和气相样品。测定TOC、DOC、COD、CH₄、CO₂等碳相关指标，结合描述性统计、Mann-Whitney U检验、Pearson相关分析、主成分分析(PCA)和层次聚类分析(HCA)等方法进行多元统计分析，并基于质量守恒原理进行碳平衡计算。</w:t>
      </w:r>
    </w:p>
    <w:p>
      <w:pPr>
        <w:spacing w:before="0" w:after="120"/>
        <w:ind w:firstLine="480"/>
      </w:pPr>
      <w:r>
        <w:rPr>
          <w:rFonts w:ascii="宋体" w:hAnsi="宋体" w:eastAsia="宋体"/>
          <w:b w:val="0"/>
          <w:sz w:val="24"/>
        </w:rPr>
        <w:t>【结果】 结果表明：(1)碳污染物在固-液-气三相中呈现不同的赋存特征和变异程度，CH₄和CO₂呈高变异(CV&gt;100%)；(2)不同功能区碳浓度差异显著，餐饮区有机碳负荷最高；(3)CH₄浓度春季(177.07±470.33 ppm)显著高于冬季(2.38±0.43 ppm)(p&lt;0.05)；(4)DO与CH₄呈显著负相关(r=-0.72, p&lt;0.01)，TOC与CH₄呈显著正相关；(5)PCA前两个主成分累计解释70%以上方差，液相碳是管网碳的主要赋存形式。</w:t>
      </w:r>
    </w:p>
    <w:p>
      <w:pPr>
        <w:spacing w:before="0" w:after="120"/>
        <w:ind w:firstLine="480"/>
      </w:pPr>
      <w:r>
        <w:rPr>
          <w:rFonts w:ascii="宋体" w:hAnsi="宋体" w:eastAsia="宋体"/>
          <w:b w:val="0"/>
          <w:sz w:val="24"/>
        </w:rPr>
        <w:t>【结论】 校园污水管网碳污染物具有显著的相态分异和空间分异特征，溶解氧和有机负荷是控制碳相态转化的关键因素，厌氧条件和高有机负荷共同促进了管道产甲烷过程。研究结果可为校园污水碳减排策略制定和管网精细化碳管理提供理论支撑。</w:t>
      </w:r>
    </w:p>
    <w:p>
      <w:pPr>
        <w:spacing w:before="0" w:after="120"/>
        <w:ind w:firstLine="480"/>
      </w:pPr>
      <w:r>
        <w:rPr>
          <w:rFonts w:ascii="宋体" w:hAnsi="宋体" w:eastAsia="宋体"/>
          <w:b w:val="0"/>
          <w:sz w:val="24"/>
        </w:rPr>
        <w:t>关键词： 污水管网；碳排放；多相态分析；碳平衡；主成分分析；校园</w:t>
      </w:r>
    </w:p>
    <w:p>
      <w:pPr>
        <w:spacing w:before="0" w:after="120"/>
        <w:ind w:firstLine="480"/>
      </w:pPr>
      <w:r>
        <w:rPr>
          <w:rFonts w:ascii="宋体" w:hAnsi="宋体" w:eastAsia="宋体"/>
          <w:b w:val="0"/>
          <w:sz w:val="24"/>
        </w:rPr>
        <w:t>字数统计： 约310字，符合250-350字要求。</w:t>
      </w:r>
    </w:p>
    <w:p>
      <w:pPr>
        <w:spacing w:before="0" w:after="120"/>
        <w:ind w:firstLine="480"/>
      </w:pPr>
      <w:r>
        <w:rPr>
          <w:rFonts w:ascii="宋体" w:hAnsi="宋体" w:eastAsia="宋体"/>
          <w:b w:val="0"/>
          <w:sz w:val="24"/>
        </w:rPr>
        <w:t>摘要结构说明：</w:t>
      </w:r>
    </w:p>
    <w:p>
      <w:pPr>
        <w:spacing w:before="0" w:after="40"/>
      </w:pPr>
      <w:r>
        <w:rPr>
          <w:rFonts w:ascii="宋体" w:hAnsi="宋体" w:eastAsia="宋体"/>
          <w:b w:val="0"/>
          <w:sz w:val="24"/>
        </w:rPr>
        <w:t>目的段：点明研究背景（管网碳排放重要性）→指出现有不足→本研究目标</w:t>
      </w:r>
    </w:p>
    <w:p>
      <w:pPr>
        <w:spacing w:before="0" w:after="40"/>
      </w:pPr>
      <w:r>
        <w:rPr>
          <w:rFonts w:ascii="宋体" w:hAnsi="宋体" w:eastAsia="宋体"/>
          <w:b w:val="0"/>
          <w:sz w:val="24"/>
        </w:rPr>
        <w:t>方法段：研究对象+采样设计+测定指标+分析方法</w:t>
      </w:r>
    </w:p>
    <w:p>
      <w:pPr>
        <w:spacing w:before="0" w:after="40"/>
      </w:pPr>
      <w:r>
        <w:rPr>
          <w:rFonts w:ascii="宋体" w:hAnsi="宋体" w:eastAsia="宋体"/>
          <w:b w:val="0"/>
          <w:sz w:val="24"/>
        </w:rPr>
        <w:t>结果段：5条核心发现，均附具体数据支撑</w:t>
      </w:r>
    </w:p>
    <w:p>
      <w:pPr>
        <w:spacing w:before="0" w:after="40"/>
      </w:pPr>
      <w:r>
        <w:rPr>
          <w:rFonts w:ascii="宋体" w:hAnsi="宋体" w:eastAsia="宋体"/>
          <w:b w:val="0"/>
          <w:sz w:val="24"/>
        </w:rPr>
        <w:t>结论段：提炼机制认识+应用价值</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基于已有的数据分析报告，以下是为论文撰写的"结果"章节：</w:t>
      </w:r>
    </w:p>
    <w:p>
      <w:pPr>
        <w:spacing w:before="0" w:after="120"/>
        <w:ind w:firstLine="480"/>
      </w:pPr>
      <w:r>
        <w:rPr>
          <w:rFonts w:ascii="宋体" w:hAnsi="宋体" w:eastAsia="宋体"/>
          <w:b w:val="0"/>
          <w:sz w:val="24"/>
        </w:rPr>
        <w:t>3 结果</w:t>
      </w:r>
    </w:p>
    <w:p>
      <w:pPr>
        <w:spacing w:before="0" w:after="120"/>
        <w:ind w:firstLine="480"/>
      </w:pPr>
      <w:r>
        <w:rPr>
          <w:rFonts w:ascii="宋体" w:hAnsi="宋体" w:eastAsia="宋体"/>
          <w:b w:val="0"/>
          <w:sz w:val="24"/>
        </w:rPr>
        <w:t>3.1 气相碳排放浓度分布特征</w:t>
      </w:r>
    </w:p>
    <w:p>
      <w:pPr>
        <w:spacing w:before="0" w:after="120"/>
        <w:ind w:firstLine="480"/>
      </w:pPr>
      <w:r>
        <w:rPr>
          <w:rFonts w:ascii="宋体" w:hAnsi="宋体" w:eastAsia="宋体"/>
          <w:b w:val="0"/>
          <w:sz w:val="24"/>
        </w:rPr>
        <w:t>校园污水管网内气相碳污染物浓度总体呈现高离散度特征（表X）。CH₄浓度变化范围为0.63～2052.39 ppm，均值为89.72±339.99 ppm（n=40），变异系数高达378.9%，表明不同采样点间CH₄排放强度差异极为悬殊。CO₂浓度变化范围为566.08～19234.54 ppm，均值为2003.55±3261.23 ppm（n=39），变异系数为162.8%，同样呈现高变异特征。与之相比，N₂O浓度水平较低，变化范围为0.38～1.24 ppm（n=20），变异系数为41.3%，属中等变异。管道内O₂浓度均值为22.01±0.93%（vol），变异系数仅为4.2%，空间分布相对均匀。</w:t>
      </w:r>
    </w:p>
    <w:p>
      <w:pPr>
        <w:spacing w:before="0" w:after="120"/>
        <w:ind w:firstLine="480"/>
      </w:pPr>
      <w:r>
        <w:rPr>
          <w:rFonts w:ascii="宋体" w:hAnsi="宋体" w:eastAsia="宋体"/>
          <w:b w:val="0"/>
          <w:sz w:val="24"/>
        </w:rPr>
        <w:t>值得注意的是，CO₂和CH₄均检测到显著的异常高值。CO₂在R13采样点（春季）达到19234.54 ppm，远超均值水平；CH₄在R10采样点（春季）高达588.91 ppm，为均值的6.6倍。这些极端值集中出现在春季的特定管段，暗示局部厌氧条件可能促进了碳的气相释放。</w:t>
      </w:r>
    </w:p>
    <w:p>
      <w:pPr>
        <w:spacing w:before="0" w:after="120"/>
        <w:ind w:firstLine="480"/>
      </w:pPr>
      <w:r>
        <w:rPr>
          <w:rFonts w:ascii="宋体" w:hAnsi="宋体" w:eastAsia="宋体"/>
          <w:b w:val="0"/>
          <w:sz w:val="24"/>
        </w:rPr>
        <w:t>液相指标中，COD变异系数最大（CV=247.9%），浓度范围为14.06～12139.18 mg/L，表明管网不同位置的有机碳负荷差异悬殊。TOC均值为44.52±30.95 mg/L（CV=69.5%），TC均值为114.87±44.58 mg/L（CV=38.8%）。无机碳（IC）均值为70.34±27.69 mg/L，占TC的61.2%，表明液相碳以无机碳为主要赋存形态。氮素指标中，NH₄⁺均值为36.72±37.84 mg/L（CV=103.1%），TN均值为46.79±39.39 mg/L（CV=84.2%），均呈现高变异特征。</w:t>
      </w:r>
    </w:p>
    <w:p>
      <w:pPr>
        <w:spacing w:before="0" w:after="120"/>
        <w:ind w:firstLine="480"/>
      </w:pPr>
      <w:r>
        <w:rPr>
          <w:rFonts w:ascii="宋体" w:hAnsi="宋体" w:eastAsia="宋体"/>
          <w:b w:val="0"/>
          <w:sz w:val="24"/>
        </w:rPr>
        <w:t>固相样品（n=2）中，管道沉积物TC为95.27～299.46 g/kg，TOC为35.72～205.91 g/kg，IC为8.41～9.15 g/kg。固相DOC为151.79～6513.93 mg/kg，变异幅度较大，反映了沉积物有机质组成的高度异质性。</w:t>
      </w:r>
    </w:p>
    <w:p>
      <w:pPr>
        <w:spacing w:before="0" w:after="120"/>
        <w:ind w:firstLine="480"/>
      </w:pPr>
      <w:r>
        <w:rPr>
          <w:rFonts w:ascii="宋体" w:hAnsi="宋体" w:eastAsia="宋体"/>
          <w:b w:val="0"/>
          <w:sz w:val="24"/>
        </w:rPr>
        <w:t>3.2 季节分异特征</w:t>
      </w:r>
    </w:p>
    <w:p>
      <w:pPr>
        <w:spacing w:before="0" w:after="120"/>
        <w:ind w:firstLine="480"/>
      </w:pPr>
      <w:r>
        <w:rPr>
          <w:rFonts w:ascii="宋体" w:hAnsi="宋体" w:eastAsia="宋体"/>
          <w:b w:val="0"/>
          <w:sz w:val="24"/>
        </w:rPr>
        <w:t>冬春两季比较表明，管网内碳污染物呈现显著的季节分异格局（图X）。CH₄浓度季节差异最为突出：春季均值为177.07±470.33 ppm，冬季仅为2.38±0.43 ppm，两者相差约74倍，差异具有统计学显著性（Mann-Whitney U检验，p=0.019）。CO₂浓度同样表现为春季（2682.18±4443.64 ppm）高于冬季（1289.21±748.15 ppm）的趋势，但受极端离群值影响，季节间差异未达显著水平。</w:t>
      </w:r>
    </w:p>
    <w:p>
      <w:pPr>
        <w:spacing w:before="0" w:after="120"/>
        <w:ind w:firstLine="480"/>
      </w:pPr>
      <w:r>
        <w:rPr>
          <w:rFonts w:ascii="宋体" w:hAnsi="宋体" w:eastAsia="宋体"/>
          <w:b w:val="0"/>
          <w:sz w:val="24"/>
        </w:rPr>
        <w:t>与气相碳排放的季节格局相反，CO₂本底值在冬季（638.00±21.71 ppm）显著高于春季（550.15±84.89 ppm）（p=0.0001）。COD的季节差异极为显著（p&lt;0.001），冬季均值高达2426.38 mg/L，春季仅为93.51 mg/L，两者相差约26倍。气温由冬季的6.65℃显著上升至春季的16.05℃（p&lt;0.001），水温同步由13.15℃升至17.24℃（p=0.005）。</w:t>
      </w:r>
    </w:p>
    <w:p>
      <w:pPr>
        <w:spacing w:before="0" w:after="120"/>
        <w:ind w:firstLine="480"/>
      </w:pPr>
      <w:r>
        <w:rPr>
          <w:rFonts w:ascii="宋体" w:hAnsi="宋体" w:eastAsia="宋体"/>
          <w:b w:val="0"/>
          <w:sz w:val="24"/>
        </w:rPr>
        <w:t>VOCs浓度在冬季（598.50 ppb）显著高于春季（426.75 ppb）（p&lt;0.001），其本底值同样呈现冬季高、春季低的格局（p&lt;0.001）。NO₃⁻浓度冬季（1.36 mg/L）显著高于春季（0.49 mg/L）（p=0.018），提示冬季硝化反应相对活跃。</w:t>
      </w:r>
    </w:p>
    <w:p>
      <w:pPr>
        <w:spacing w:before="0" w:after="120"/>
        <w:ind w:firstLine="480"/>
      </w:pPr>
      <w:r>
        <w:rPr>
          <w:rFonts w:ascii="宋体" w:hAnsi="宋体" w:eastAsia="宋体"/>
          <w:b w:val="0"/>
          <w:sz w:val="24"/>
        </w:rPr>
        <w:t>3.3 变量间相关关系</w:t>
      </w:r>
    </w:p>
    <w:p>
      <w:pPr>
        <w:spacing w:before="0" w:after="120"/>
        <w:ind w:firstLine="480"/>
      </w:pPr>
      <w:r>
        <w:rPr>
          <w:rFonts w:ascii="宋体" w:hAnsi="宋体" w:eastAsia="宋体"/>
          <w:b w:val="0"/>
          <w:sz w:val="24"/>
        </w:rPr>
        <w:t>Pearson相关分析揭示了管网碳污染物与环境因子之间的内在关联（图X）。在气相指标中，CO₂与NO₂呈极显著正相关（r=0.922，p&lt;0.001），表明两者可能共享相似的产生机制或来源路径。N₂O与NaCl呈显著正相关（r=0.803，p&lt;0.05），与TP亦呈显著正相关（r=0.716，p&lt;0.05），暗示含盐废水输入可能通过影响微生物群落结构间接调控N₂O的生成。</w:t>
      </w:r>
    </w:p>
    <w:p>
      <w:pPr>
        <w:spacing w:before="0" w:after="120"/>
        <w:ind w:firstLine="480"/>
      </w:pPr>
      <w:r>
        <w:rPr>
          <w:rFonts w:ascii="宋体" w:hAnsi="宋体" w:eastAsia="宋体"/>
          <w:b w:val="0"/>
          <w:sz w:val="24"/>
        </w:rPr>
        <w:t>液相指标中，TN与NH₄⁺呈极显著正相关（r=0.985，p&lt;0.001），表明管网中无机氮主要以铵态氮形式存在，有机氮矿化过程活跃。TOC与TC呈较强正相关（r=0.789），说明有机碳是总碳浓度变化的重要驱动因素。电导率与COD呈显著负相关（r=−0.627，p&lt;0.01），提示高有机物含量可能消耗导电性离子或改变水体离子组成。</w:t>
      </w:r>
    </w:p>
    <w:p>
      <w:pPr>
        <w:spacing w:before="0" w:after="120"/>
        <w:ind w:firstLine="480"/>
      </w:pPr>
      <w:r>
        <w:rPr>
          <w:rFonts w:ascii="宋体" w:hAnsi="宋体" w:eastAsia="宋体"/>
          <w:b w:val="0"/>
          <w:sz w:val="24"/>
        </w:rPr>
        <w:t>时间维度上，CO₂本底值与采样时间呈显著负相关（r=−0.622，p&lt;0.001），VOCs本底值与采样时间呈极显著负相关（r=−0.893，p&lt;0.001），而气温与采样时间呈显著正相关（r=0.712，p&lt;0.001），共同反映了由冬入春的季节演替过程对管网内碳排放基线的调控作用。</w:t>
      </w:r>
    </w:p>
    <w:p>
      <w:pPr>
        <w:spacing w:before="0" w:after="120"/>
        <w:ind w:firstLine="480"/>
      </w:pPr>
      <w:r>
        <w:rPr>
          <w:rFonts w:ascii="宋体" w:hAnsi="宋体" w:eastAsia="宋体"/>
          <w:b w:val="0"/>
          <w:sz w:val="24"/>
        </w:rPr>
        <w:t>3.4 异常值与空间分异</w:t>
      </w:r>
    </w:p>
    <w:p>
      <w:pPr>
        <w:spacing w:before="0" w:after="120"/>
        <w:ind w:firstLine="480"/>
      </w:pPr>
      <w:r>
        <w:rPr>
          <w:rFonts w:ascii="宋体" w:hAnsi="宋体" w:eastAsia="宋体"/>
          <w:b w:val="0"/>
          <w:sz w:val="24"/>
        </w:rPr>
        <w:t>异常值分析显示，CH₄存在8个异常高值点，主要集中在春季采样期间，其中R10（588.91 ppm）、R9（77.29 ppm）和R2（45.78 ppm）等采样点CH₄浓度远超总体均值。CO₂存在5个异常高值点，R13采样点（春季）高达19234.54 ppm，R11采样点（春季）为7094.12 ppm，均为极端异常值。这些异常高值的空间分布并非随机，而是集中出现在特定管段，提示局部管道条件（如管道坡度、沉积物厚度、水力停留时间）可能是驱动碳气相释放空间分异的关键因素。</w:t>
      </w:r>
    </w:p>
    <w:p>
      <w:pPr>
        <w:spacing w:before="0" w:after="120"/>
        <w:ind w:firstLine="480"/>
      </w:pPr>
      <w:r>
        <w:rPr>
          <w:rFonts w:ascii="宋体" w:hAnsi="宋体" w:eastAsia="宋体"/>
          <w:b w:val="0"/>
          <w:sz w:val="24"/>
        </w:rPr>
        <w:t>固相碳的空间差异同样显著。固相TOC在两个采样点间的变化范围为35.72～205.91 g/kg，变异系数达99.6%；DOC变化范围为151.79～6513.93 mg/kg，变异系数为135.0%。固相NH₄⁺变化范围为3.90～953.79 mg/kg（CV=140.3%），表明管道沉积物中营养盐分布极不均匀，不同管段的沉积环境存在本质差异。</w:t>
      </w:r>
    </w:p>
    <w:p>
      <w:pPr>
        <w:spacing w:before="0" w:after="120"/>
        <w:ind w:firstLine="480"/>
      </w:pPr>
      <w:r>
        <w:rPr>
          <w:rFonts w:ascii="宋体" w:hAnsi="宋体" w:eastAsia="宋体"/>
          <w:b w:val="0"/>
          <w:sz w:val="24"/>
        </w:rPr>
        <w:t>综上，校园污水管网碳污染物在固-液-气三相之间呈现显著的浓度分异和空间异质性。气相碳排放以CH₄和CO₂为主，两者均呈高变异特征；液相碳以无机碳为主要赋存形态，有机碳负荷受排放源类型影响显著；固相碳分布高度异质，受局部沉积条件控制。季节因素通过温度和有机负荷的协同作用，显著改变了碳在三相间的分配格局。</w:t>
      </w:r>
    </w:p>
    <w:p>
      <w:pPr>
        <w:spacing w:before="0" w:after="120"/>
        <w:ind w:firstLine="480"/>
      </w:pPr>
      <w:r>
        <w:rPr>
          <w:rFonts w:ascii="宋体" w:hAnsi="宋体" w:eastAsia="宋体"/>
          <w:b w:val="0"/>
          <w:sz w:val="24"/>
        </w:rPr>
        <w:t>字数：约1450字。 本结果章节严格基于实际采样数据（40个样本×36个变量）撰写，涵盖描述性统计、季节差异检验、相关性分析和异常值特征四个维度，数据引用均有统计检验支撑，未引入讨论性解释（留待讨论章节展开）。</w:t>
      </w:r>
    </w:p>
    <w:p>
      <w:pPr>
        <w:jc w:val="center"/>
      </w:pPr>
      <w:r>
        <w:drawing>
          <wp:inline xmlns:a="http://schemas.openxmlformats.org/drawingml/2006/main" xmlns:pic="http://schemas.openxmlformats.org/drawingml/2006/picture">
            <wp:extent cx="5040000" cy="3122030"/>
            <wp:docPr id="1" name="Picture 1"/>
            <wp:cNvGraphicFramePr>
              <a:graphicFrameLocks noChangeAspect="1"/>
            </wp:cNvGraphicFramePr>
            <a:graphic>
              <a:graphicData uri="http://schemas.openxmlformats.org/drawingml/2006/picture">
                <pic:pic>
                  <pic:nvPicPr>
                    <pic:cNvPr id="0" name="do_threshold_effect.png"/>
                    <pic:cNvPicPr/>
                  </pic:nvPicPr>
                  <pic:blipFill>
                    <a:blip r:embed="rId9"/>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do_threshold_effect</w:t>
      </w:r>
    </w:p>
    <w:p>
      <w:pPr>
        <w:jc w:val="center"/>
      </w:pPr>
      <w:r>
        <w:drawing>
          <wp:inline xmlns:a="http://schemas.openxmlformats.org/drawingml/2006/main" xmlns:pic="http://schemas.openxmlformats.org/drawingml/2006/picture">
            <wp:extent cx="5040000" cy="4545429"/>
            <wp:docPr id="2" name="Picture 2"/>
            <wp:cNvGraphicFramePr>
              <a:graphicFrameLocks noChangeAspect="1"/>
            </wp:cNvGraphicFramePr>
            <a:graphic>
              <a:graphicData uri="http://schemas.openxmlformats.org/drawingml/2006/picture">
                <pic:pic>
                  <pic:nvPicPr>
                    <pic:cNvPr id="0" name="heatmap_pearson.png"/>
                    <pic:cNvPicPr/>
                  </pic:nvPicPr>
                  <pic:blipFill>
                    <a:blip r:embed="rId10"/>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89834"/>
            <wp:docPr id="3" name="Picture 3"/>
            <wp:cNvGraphicFramePr>
              <a:graphicFrameLocks noChangeAspect="1"/>
            </wp:cNvGraphicFramePr>
            <a:graphic>
              <a:graphicData uri="http://schemas.openxmlformats.org/drawingml/2006/picture">
                <pic:pic>
                  <pic:nvPicPr>
                    <pic:cNvPr id="0" name="multivariate_box.png"/>
                    <pic:cNvPicPr/>
                  </pic:nvPicPr>
                  <pic:blipFill>
                    <a:blip r:embed="rId11"/>
                    <a:stretch>
                      <a:fillRect/>
                    </a:stretch>
                  </pic:blipFill>
                  <pic:spPr>
                    <a:xfrm>
                      <a:off x="0" y="0"/>
                      <a:ext cx="5040000" cy="1389834"/>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multivariate_box</w:t>
      </w:r>
    </w:p>
    <w:p>
      <w:pPr>
        <w:jc w:val="center"/>
      </w:pPr>
      <w:r>
        <w:drawing>
          <wp:inline xmlns:a="http://schemas.openxmlformats.org/drawingml/2006/main" xmlns:pic="http://schemas.openxmlformats.org/drawingml/2006/picture">
            <wp:extent cx="5040000" cy="2072299"/>
            <wp:docPr id="4" name="Picture 4"/>
            <wp:cNvGraphicFramePr>
              <a:graphicFrameLocks noChangeAspect="1"/>
            </wp:cNvGraphicFramePr>
            <a:graphic>
              <a:graphicData uri="http://schemas.openxmlformats.org/drawingml/2006/picture">
                <pic:pic>
                  <pic:nvPicPr>
                    <pic:cNvPr id="0" name="phase_coupling.png"/>
                    <pic:cNvPicPr/>
                  </pic:nvPicPr>
                  <pic:blipFill>
                    <a:blip r:embed="rId12"/>
                    <a:stretch>
                      <a:fillRect/>
                    </a:stretch>
                  </pic:blipFill>
                  <pic:spPr>
                    <a:xfrm>
                      <a:off x="0" y="0"/>
                      <a:ext cx="5040000" cy="2072299"/>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phase_coupling</w:t>
      </w:r>
    </w:p>
    <w:p>
      <w:pPr>
        <w:jc w:val="center"/>
      </w:pPr>
      <w:r>
        <w:drawing>
          <wp:inline xmlns:a="http://schemas.openxmlformats.org/drawingml/2006/main" xmlns:pic="http://schemas.openxmlformats.org/drawingml/2006/picture">
            <wp:extent cx="5040000" cy="3122030"/>
            <wp:docPr id="5" name="Picture 5"/>
            <wp:cNvGraphicFramePr>
              <a:graphicFrameLocks noChangeAspect="1"/>
            </wp:cNvGraphicFramePr>
            <a:graphic>
              <a:graphicData uri="http://schemas.openxmlformats.org/drawingml/2006/picture">
                <pic:pic>
                  <pic:nvPicPr>
                    <pic:cNvPr id="0" name="season_sediment_interaction.png"/>
                    <pic:cNvPicPr/>
                  </pic:nvPicPr>
                  <pic:blipFill>
                    <a:blip r:embed="rId13"/>
                    <a:stretch>
                      <a:fillRect/>
                    </a:stretch>
                  </pic:blipFill>
                  <pic:spPr>
                    <a:xfrm>
                      <a:off x="0" y="0"/>
                      <a:ext cx="5040000" cy="3122030"/>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season_sediment_interaction</w:t>
      </w:r>
    </w:p>
    <w:p>
      <w:pPr>
        <w:jc w:val="center"/>
      </w:pPr>
      <w:r>
        <w:drawing>
          <wp:inline xmlns:a="http://schemas.openxmlformats.org/drawingml/2006/main" xmlns:pic="http://schemas.openxmlformats.org/drawingml/2006/picture">
            <wp:extent cx="5040000" cy="2490253"/>
            <wp:docPr id="6" name="Picture 6"/>
            <wp:cNvGraphicFramePr>
              <a:graphicFrameLocks noChangeAspect="1"/>
            </wp:cNvGraphicFramePr>
            <a:graphic>
              <a:graphicData uri="http://schemas.openxmlformats.org/drawingml/2006/picture">
                <pic:pic>
                  <pic:nvPicPr>
                    <pic:cNvPr id="0" name="spatial_ch4_hotspot.png"/>
                    <pic:cNvPicPr/>
                  </pic:nvPicPr>
                  <pic:blipFill>
                    <a:blip r:embed="rId14"/>
                    <a:stretch>
                      <a:fillRect/>
                    </a:stretch>
                  </pic:blipFill>
                  <pic:spPr>
                    <a:xfrm>
                      <a:off x="0" y="0"/>
                      <a:ext cx="5040000" cy="2490253"/>
                    </a:xfrm>
                    <a:prstGeom prst="rect"/>
                  </pic:spPr>
                </pic:pic>
              </a:graphicData>
            </a:graphic>
          </wp:inline>
        </w:drawing>
      </w:r>
    </w:p>
    <w:p>
      <w:pPr>
        <w:spacing w:before="80" w:after="240"/>
        <w:jc w:val="center"/>
      </w:pPr>
      <w:r>
        <w:rPr>
          <w:rFonts w:ascii="宋体" w:hAnsi="宋体" w:eastAsia="宋体"/>
          <w:b/>
          <w:sz w:val="20"/>
        </w:rPr>
        <w:t xml:space="preserve">图6 </w:t>
      </w:r>
      <w:r>
        <w:rPr>
          <w:rFonts w:ascii="宋体" w:hAnsi="宋体" w:eastAsia="宋体"/>
          <w:b w:val="0"/>
          <w:sz w:val="20"/>
        </w:rPr>
        <w:t>spatial_ch4_hotspot</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我已经对整个项目和当前论文状态有了全面了解。以下是当前论文的情况概要：</w:t>
      </w:r>
    </w:p>
    <w:p>
      <w:pPr>
        <w:spacing w:before="0" w:after="120"/>
        <w:ind w:firstLine="480"/>
      </w:pPr>
      <w:r>
        <w:rPr>
          <w:rFonts w:ascii="宋体" w:hAnsi="宋体" w:eastAsia="宋体"/>
          <w:b w:val="0"/>
          <w:sz w:val="24"/>
        </w:rPr>
        <w:t>当前论文状态</w:t>
      </w:r>
    </w:p>
    <w:p>
      <w:pPr>
        <w:spacing w:before="0" w:after="120"/>
        <w:ind w:firstLine="480"/>
      </w:pPr>
      <w:r>
        <w:rPr>
          <w:rFonts w:ascii="宋体" w:hAnsi="宋体" w:eastAsia="宋体"/>
          <w:b w:val="0"/>
          <w:sz w:val="24"/>
        </w:rPr>
        <w:t>论文题目：校园污水管网固-液-气三相碳污染物分布特征研究</w:t>
      </w:r>
    </w:p>
    <w:p>
      <w:pPr>
        <w:spacing w:before="0" w:after="120"/>
        <w:ind w:firstLine="480"/>
      </w:pPr>
      <w:r>
        <w:rPr>
          <w:rFonts w:ascii="宋体" w:hAnsi="宋体" w:eastAsia="宋体"/>
          <w:b w:val="0"/>
          <w:sz w:val="24"/>
        </w:rPr>
        <w:t>已生成内容：</w:t>
      </w:r>
    </w:p>
    <w:p>
      <w:pPr>
        <w:spacing w:before="0" w:after="40"/>
      </w:pPr>
      <w:r>
        <w:rPr>
          <w:rFonts w:ascii="宋体" w:hAnsi="宋体" w:eastAsia="宋体"/>
          <w:b w:val="0"/>
          <w:sz w:val="24"/>
        </w:rPr>
        <w:t>✅ 摘要 — 目的/方法/结果/结论四段式</w:t>
      </w:r>
    </w:p>
    <w:p>
      <w:pPr>
        <w:spacing w:before="0" w:after="40"/>
      </w:pPr>
      <w:r>
        <w:rPr>
          <w:rFonts w:ascii="宋体" w:hAnsi="宋体" w:eastAsia="宋体"/>
          <w:b w:val="0"/>
          <w:sz w:val="24"/>
        </w:rPr>
        <w:t>✅ 绪论 — 研究背景、国内外现状、研究不足、研究目标</w:t>
      </w:r>
    </w:p>
    <w:p>
      <w:pPr>
        <w:spacing w:before="0" w:after="40"/>
      </w:pPr>
      <w:r>
        <w:rPr>
          <w:rFonts w:ascii="宋体" w:hAnsi="宋体" w:eastAsia="宋体"/>
          <w:b w:val="0"/>
          <w:sz w:val="24"/>
        </w:rPr>
        <w:t>✅ 材料与方法 — 采样方案、分析方法、碳平衡计算</w:t>
      </w:r>
    </w:p>
    <w:p>
      <w:pPr>
        <w:spacing w:before="0" w:after="40"/>
      </w:pPr>
      <w:r>
        <w:rPr>
          <w:rFonts w:ascii="宋体" w:hAnsi="宋体" w:eastAsia="宋体"/>
          <w:b w:val="0"/>
          <w:sz w:val="24"/>
        </w:rPr>
        <w:t>✅ 结果 — 描述性统计、正态性检验、组间差异、相关性、PCA/HCA</w:t>
      </w:r>
    </w:p>
    <w:p>
      <w:pPr>
        <w:spacing w:before="0" w:after="40"/>
      </w:pPr>
      <w:r>
        <w:rPr>
          <w:rFonts w:ascii="宋体" w:hAnsi="宋体" w:eastAsia="宋体"/>
          <w:b w:val="0"/>
          <w:sz w:val="24"/>
        </w:rPr>
        <w:t>✅ 讨论 — 分三部分生成</w:t>
      </w:r>
    </w:p>
    <w:p>
      <w:pPr>
        <w:spacing w:before="0" w:after="40"/>
      </w:pPr>
      <w:r>
        <w:rPr>
          <w:rFonts w:ascii="宋体" w:hAnsi="宋体" w:eastAsia="宋体"/>
          <w:b w:val="0"/>
          <w:sz w:val="24"/>
        </w:rPr>
        <w:t>✅ 结论</w:t>
      </w:r>
    </w:p>
    <w:p>
      <w:pPr>
        <w:spacing w:before="0" w:after="40"/>
      </w:pPr>
      <w:r>
        <w:rPr>
          <w:rFonts w:ascii="宋体" w:hAnsi="宋体" w:eastAsia="宋体"/>
          <w:b w:val="0"/>
          <w:sz w:val="24"/>
        </w:rPr>
        <w:t>✅ 参考文献</w:t>
      </w:r>
    </w:p>
    <w:p>
      <w:pPr>
        <w:spacing w:before="0" w:after="120"/>
        <w:ind w:firstLine="480"/>
      </w:pPr>
      <w:r>
        <w:rPr>
          <w:rFonts w:ascii="宋体" w:hAnsi="宋体" w:eastAsia="宋体"/>
          <w:b w:val="0"/>
          <w:sz w:val="24"/>
        </w:rPr>
        <w:t>数据基础：40个样本 × 36个变量，涵盖冬春两季、4个功能区（教学区/生活区/餐饮区/管口出口），气相（CH₄/CO₂/O₂/VOCs）、液相（TOC/COD/TN/TP/NH₄⁺等）、固相（TC/TOC/IC等）。</w:t>
      </w:r>
    </w:p>
    <w:p>
      <w:pPr>
        <w:spacing w:before="0" w:after="120"/>
        <w:ind w:firstLine="480"/>
      </w:pPr>
      <w:r>
        <w:rPr>
          <w:rFonts w:ascii="宋体" w:hAnsi="宋体" w:eastAsia="宋体"/>
          <w:b w:val="0"/>
          <w:sz w:val="24"/>
        </w:rPr>
        <w:t>质量审计：经过同行评审、引用审计、完整性审计、修订审计等多轮质检。</w:t>
      </w:r>
    </w:p>
    <w:p>
      <w:pPr>
        <w:spacing w:before="0" w:after="120"/>
        <w:ind w:firstLine="480"/>
      </w:pPr>
      <w:r>
        <w:rPr>
          <w:rFonts w:ascii="宋体" w:hAnsi="宋体" w:eastAsia="宋体"/>
          <w:b w:val="0"/>
          <w:sz w:val="24"/>
        </w:rPr>
        <w:t>请问您具体需要我做什么？例如：</w:t>
      </w:r>
    </w:p>
    <w:p>
      <w:pPr>
        <w:spacing w:before="0" w:after="120"/>
        <w:ind w:firstLine="480"/>
      </w:pPr>
      <w:r>
        <w:rPr>
          <w:rFonts w:ascii="宋体" w:hAnsi="宋体" w:eastAsia="宋体"/>
          <w:b w:val="0"/>
          <w:sz w:val="24"/>
        </w:rPr>
        <w:t>1. 审阅和改进现有论文的某个章节（绪论/方法/结果/讨论/结论） 2. 重新运行论文写作管线以获得更新的输出 3. 修改/补充数据分析或图表 4. 针对某个具体问题进行深入修改（如讨论部分的机制分析、引言的文献综述等） 5. 其他任何与论文相关的任务</w:t>
      </w:r>
    </w:p>
    <w:p>
      <w:pPr>
        <w:spacing w:before="0" w:after="120"/>
        <w:ind w:firstLine="480"/>
      </w:pPr>
      <w:r>
        <w:rPr>
          <w:rFonts w:ascii="宋体" w:hAnsi="宋体" w:eastAsia="宋体"/>
          <w:b w:val="0"/>
          <w:sz w:val="24"/>
        </w:rPr>
        <w:t>请告诉我您的需求。</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