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rFonts w:ascii="黑体" w:hAnsi="黑体" w:eastAsia="黑体"/>
          <w:b/>
          <w:sz w:val="44"/>
        </w:rPr>
        <w:t>科研数据分析报告</w:t>
      </w:r>
    </w:p>
    <w:p>
      <w:pPr>
        <w:pStyle w:val="Heading1"/>
      </w:pPr>
      <w:r>
        <w:t>分析决策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✓ descriptive: 基础分析，所有论文必备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✓ normality: 决定参数/非参数检验选择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✓ group_comparison: 检测到2个季节组(冬季,春季)，需检验差异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✓ correlation: 25个变量，适合做相关性分析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✓ pca: 40个样本×25个变量，适合降维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✓ hca: 40个样本，适合聚类分析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✓ regression: 发现3对有科研意义的变量组合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✓ carbon_balance: 检测到2相碳数据，可做碳平衡分析</w:t>
      </w:r>
    </w:p>
    <w:p>
      <w:pPr>
        <w:pStyle w:val="Heading1"/>
      </w:pPr>
      <w:r>
        <w:t>Descriptive Text</w:t>
      </w:r>
    </w:p>
    <w:p>
      <w:pPr>
        <w:pStyle w:val="Heading3"/>
      </w:pPr>
      <w:r>
        <w:t>描述性统计结果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CH$_4$ (ppm)的变化范围为0.63~2052.39，平均值为89.72±339.99(n=40)，变异系数CV=378.9%，属于高变异。 N$_2$O (ppm)的变化范围为0.38~1.24，平均值为0.45±0.19(n=20)，变异系数CV=41.3%，属于中等变异。 CO$_2$ (ppm)的变化范围为566.08~19234.54，平均值为2003.55±3261.23(n=39)，变异系数CV=162.8%，属于高变异。 CO2本底值的变化范围为450.00~736.00，平均值为594.08±75.63(n=40)，变异系数CV=12.7%，属于低变异。 O$_2$ (%vol)的变化范围为20.90~25.00，平均值为22.01±0.93(n=40)，变异系数CV=4.2%，属于低变异。 O2本底值的变化范围为20.90~20.90，平均值为20.90±0.00(n=40)，变异系数CV=0.0%，属于低变异。 VOCs (ppb)的变化范围为238.00~869.00，平均值为512.62±160.54(n=40)，变异系数CV=31.3%，属于中等变异。 VOCs本底值的变化范围为79.00~330.00，平均值为214.25±81.93(n=40)，变异系数CV=38.2%，属于中等变异。 气温（℃）的变化范围为1.00~18.00，平均值为11.35±6.59(n=40)，变异系数CV=58.1%，属于中等变异。 DO (mg/L)的变化范围为0.95~10.45，平均值为4.80±2.26(n=18)，变异系数CV=47.0%，属于中等变异。 NaCl (mg/L)的变化范围为330.00~873.00，平均值为499.59±151.25(n=17)，变异系数CV=30.3%，属于中等变异。 电导率 (μS/cm)的变化范围为21.65~1279.00，平均值为777.37±288.13(n=18)，变异系数CV=37.1%，属于中等变异。 水温 (℃)的变化范围为8.10~20.30，平均值为15.42±3.30(n=18)，变异系数CV=21.4%，属于低变异。 pH的变化范围为6.48~9.25，平均值为7.79±0.85(n=18)，变异系数CV=11.0%，属于低变异。 H$_2$S的变化范围为1.20~5.00，平均值为2.53±2.14(n=3)，变异系数CV=84.4%，属于中等变异。 TOC (mg/L)的变化范围为8.98~124.00，平均值为44.52±30.95(n=18)，变异系数CV=69.5%，属于中等变异。 TC (mg/L)的变化范围为43.46~203.28，平均值为114.87±44.58(n=18)，变异系数CV=38.8%，属于中等变异。 IC (mg/L)的变化范围为25.61~129.30，平均值为70.34±27.69(n=18)，变异系数CV=39.4%，属于中等变异。 TN (mg/L)的变化范围为5.01~124.82，平均值为46.79±39.39(n=18)，变异系数CV=84.2%，属于中等变异。 TP (mg/L)的变化范围为0.23~8.40，平均值为3.86±2.83(n=18)，变异系数CV=73.3%，属于中等变异。 NH$_4^+$ (mg/L)的变化范围为0.06~114.05，平均值为36.72±37.84(n=18)，变异系数CV=103.1%，属于高变异。 NO$_3^-$ (mg/L)的变化范围为0.01~3.41，平均值为0.88±1.15(n=18)，变异系数CV=130.4%，属于高变异。 COD (mg/L)的变化范围为14.06~12139.18，平均值为1130.34±2802.51(n=18)，变异系数CV=247.9%，属于高变异。 采样时间的变化范围为1.15~4.80，平均值为2.80±1.67(n=40)，变异系数CV=59.5%，属于中等变异。 NO2（ppm）的变化范围为0.21~19.66，平均值为1.96±4.26(n=20)，变异系数CV=217.3%，属于高变异。 固相TC (g/kg)的变化范围为95.27~299.46，平均值为197.36±144.38(n=2)，变异系数CV=73.2%，属于中等变异。 DOC (mg/kg)的变化范围为151.79~6513.93，平均值为3332.86±4498.71(n=2)，变异系数CV=135.0%，属于高变异。 固相TP (g/kg)的变化范围为1.54~2.67，平均值为2.10±0.80(n=2)，变异系数CV=38.0%，属于中等变异。 固相TOC (g/kg)的变化范围为35.72~205.91，平均值为120.81±120.34(n=2)，变异系数CV=99.6%，属于中等变异。 固相IC (g/kg)的变化范围为8.41~9.15，平均值为8.78±0.52(n=2)，变异系数CV=6.0%，属于低变异。 固相NH$_4^+$ (mg/kg)的变化范围为3.90~953.79，平均值为478.84±671.67(n=2)，变异系数CV=140.3%，属于高变异。 固相NO$_3^-$ (mg/kg)的变化范围为1.13~1.39，平均值为1.26±0.18(n=2)，变异系数CV=14.6%，属于低变异。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按季节分组： CH$_4$ (ppm)：冬季(2.38±0.43)，春季(177.07±470.33)。 N$_2$O (ppm)：冬季(0.45±0.19)，春季(nan±nan)。 CO$_2$ (ppm)：冬季(1289.21±748.15)，春季(2682.18±4443.64)。 CO2本底值：冬季(638.00±21.71)，春季(550.15±84.89)。 O$_2$ (%vol)：冬季(22.22±1.07)，春季(21.80±0.74)。 O2本底值：冬季(20.90±0.00)，春季(20.90±0.00)。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43007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10_TOC_CO2回归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3007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rFonts w:ascii="宋体" w:hAnsi="宋体" w:eastAsia="宋体"/>
          <w:b/>
          <w:sz w:val="20"/>
        </w:rPr>
        <w:t xml:space="preserve">图10 </w:t>
      </w:r>
      <w:r>
        <w:rPr>
          <w:rFonts w:ascii="宋体" w:hAnsi="宋体" w:eastAsia="宋体"/>
          <w:b w:val="0"/>
          <w:sz w:val="20"/>
        </w:rPr>
        <w:t>_TOC_CO2回归</w:t>
      </w:r>
    </w:p>
    <w:p>
      <w:pPr>
        <w:pStyle w:val="Heading1"/>
      </w:pPr>
      <w:r>
        <w:t>Normality Text</w:t>
      </w:r>
    </w:p>
    <w:p>
      <w:pPr>
        <w:pStyle w:val="Heading3"/>
      </w:pPr>
      <w:r>
        <w:t>正态性检验结果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Shapiro-Wilk正态性检验结果表明，11个变量符合正态分布(p&gt;0.05)，14个变量不符合正态分布(p≤0.05)。 非正态变量包括：CH$_4$ (ppm)、N$_2$O (ppm)、CO$_2$ (ppm)、CO2本底值、O$_2$ (%vol)等。 对于非正态分布的变量，后续组间比较采用Mann-Whitney U非参数检验。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430285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13_TN_TOC回归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302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rFonts w:ascii="宋体" w:hAnsi="宋体" w:eastAsia="宋体"/>
          <w:b/>
          <w:sz w:val="20"/>
        </w:rPr>
        <w:t xml:space="preserve">图13 </w:t>
      </w:r>
      <w:r>
        <w:rPr>
          <w:rFonts w:ascii="宋体" w:hAnsi="宋体" w:eastAsia="宋体"/>
          <w:b w:val="0"/>
          <w:sz w:val="20"/>
        </w:rPr>
        <w:t>_TN_TOC回归</w:t>
      </w:r>
    </w:p>
    <w:p>
      <w:pPr>
        <w:pStyle w:val="Heading1"/>
      </w:pPr>
      <w:r>
        <w:t>Comparison Text</w:t>
      </w:r>
    </w:p>
    <w:p>
      <w:pPr>
        <w:pStyle w:val="Heading3"/>
      </w:pPr>
      <w:r>
        <w:t>组间差异分析结果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组间比较结果显示，9个变量在不同季节之间存在显著差异，13个变量的季节差异不显著。 CH$_4$ (ppm)在春季(177.07)显著高于冬季(2.38)(Mann-Whitney U，p=0.0193*)。 CO2本底值在冬季(638.00)显著高于春季(550.15)(Mann-Whitney U，p=0.0001***)。 VOCs (ppb)在冬季(598.50)显著高于春季(426.75)(t检验，p=0.0003***)。 VOCs本底值在冬季(286.70)显著高于春季(141.80)(Mann-Whitney U，p=0.0000***)。 气温（℃）在春季(16.05)显著高于冬季(6.65)(Mann-Whitney U，p=0.0000***)。 水温 (℃)在春季(17.24)显著高于冬季(13.15)(t检验，p=0.0048**)。 NO$_3^-$ (mg/L)在冬季(1.36)显著高于春季(0.49)(Mann-Whitney U，p=0.0182*)。 COD (mg/L)在冬季(2426.38)显著高于春季(93.51)(Mann-Whitney U，p=0.0000***)。 采样时间在春季(4.43)显著高于冬季(1.17)(Mann-Whitney U，p=0.0000***)。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504855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1_三相碳组成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85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rFonts w:ascii="宋体" w:hAnsi="宋体" w:eastAsia="宋体"/>
          <w:b/>
          <w:sz w:val="20"/>
        </w:rPr>
        <w:t xml:space="preserve">图1 </w:t>
      </w:r>
      <w:r>
        <w:rPr>
          <w:rFonts w:ascii="宋体" w:hAnsi="宋体" w:eastAsia="宋体"/>
          <w:b w:val="0"/>
          <w:sz w:val="20"/>
        </w:rPr>
        <w:t>_三相碳组成</w:t>
      </w:r>
    </w:p>
    <w:p>
      <w:pPr>
        <w:pStyle w:val="Heading1"/>
      </w:pPr>
      <w:r>
        <w:t>Correlation Text</w:t>
      </w:r>
    </w:p>
    <w:p>
      <w:pPr>
        <w:pStyle w:val="Heading3"/>
      </w:pPr>
      <w:r>
        <w:t>相关性分析结果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Pearson相关性分析结果如图X所示。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显著正相关：</w:t>
      </w:r>
    </w:p>
    <w:p>
      <w:pPr>
        <w:spacing w:before="0" w:after="40"/>
      </w:pPr>
      <w:r>
        <w:rPr>
          <w:rFonts w:ascii="宋体" w:hAnsi="宋体" w:eastAsia="宋体"/>
          <w:b w:val="0"/>
          <w:sz w:val="24"/>
        </w:rPr>
        <w:t>N$_2$O (ppm)与NaCl (mg/L)呈显著正相关(r=0.803, p*)</w:t>
      </w:r>
    </w:p>
    <w:p>
      <w:pPr>
        <w:spacing w:before="0" w:after="40"/>
      </w:pPr>
      <w:r>
        <w:rPr>
          <w:rFonts w:ascii="宋体" w:hAnsi="宋体" w:eastAsia="宋体"/>
          <w:b w:val="0"/>
          <w:sz w:val="24"/>
        </w:rPr>
        <w:t>N$_2$O (ppm)与TP (mg/L)呈显著正相关(r=0.716, p*)</w:t>
      </w:r>
    </w:p>
    <w:p>
      <w:pPr>
        <w:spacing w:before="0" w:after="40"/>
      </w:pPr>
      <w:r>
        <w:rPr>
          <w:rFonts w:ascii="宋体" w:hAnsi="宋体" w:eastAsia="宋体"/>
          <w:b w:val="0"/>
          <w:sz w:val="24"/>
        </w:rPr>
        <w:t>CO$_2$ (ppm)与NO2（ppm）呈显著正相关(r=0.922, p***)</w:t>
      </w:r>
    </w:p>
    <w:p>
      <w:pPr>
        <w:spacing w:before="0" w:after="40"/>
      </w:pPr>
      <w:r>
        <w:rPr>
          <w:rFonts w:ascii="宋体" w:hAnsi="宋体" w:eastAsia="宋体"/>
          <w:b w:val="0"/>
          <w:sz w:val="24"/>
        </w:rPr>
        <w:t>VOCs (ppb)与VOCs本底值呈显著正相关(r=0.721, p***)</w:t>
      </w:r>
    </w:p>
    <w:p>
      <w:pPr>
        <w:spacing w:before="0" w:after="40"/>
      </w:pPr>
      <w:r>
        <w:rPr>
          <w:rFonts w:ascii="宋体" w:hAnsi="宋体" w:eastAsia="宋体"/>
          <w:b w:val="0"/>
          <w:sz w:val="24"/>
        </w:rPr>
        <w:t>气温（℃）与采样时间呈显著正相关(r=0.712, p***)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显著负相关：</w:t>
      </w:r>
    </w:p>
    <w:p>
      <w:pPr>
        <w:spacing w:before="0" w:after="40"/>
      </w:pPr>
      <w:r>
        <w:rPr>
          <w:rFonts w:ascii="宋体" w:hAnsi="宋体" w:eastAsia="宋体"/>
          <w:b w:val="0"/>
          <w:sz w:val="24"/>
        </w:rPr>
        <w:t>CO2本底值与采样时间呈显著负相关(r=-0.622, p***)</w:t>
      </w:r>
    </w:p>
    <w:p>
      <w:pPr>
        <w:spacing w:before="0" w:after="40"/>
      </w:pPr>
      <w:r>
        <w:rPr>
          <w:rFonts w:ascii="宋体" w:hAnsi="宋体" w:eastAsia="宋体"/>
          <w:b w:val="0"/>
          <w:sz w:val="24"/>
        </w:rPr>
        <w:t>VOCs本底值与采样时间呈显著负相关(r=-0.893, p***)</w:t>
      </w:r>
    </w:p>
    <w:p>
      <w:pPr>
        <w:spacing w:before="0" w:after="40"/>
      </w:pPr>
      <w:r>
        <w:rPr>
          <w:rFonts w:ascii="宋体" w:hAnsi="宋体" w:eastAsia="宋体"/>
          <w:b w:val="0"/>
          <w:sz w:val="24"/>
        </w:rPr>
        <w:t>电导率 (μS/cm)与COD (mg/L)呈显著负相关(r=-0.627, p**)</w:t>
      </w:r>
    </w:p>
    <w:p>
      <w:pPr>
        <w:spacing w:before="0" w:after="40"/>
      </w:pPr>
      <w:r>
        <w:rPr>
          <w:rFonts w:ascii="宋体" w:hAnsi="宋体" w:eastAsia="宋体"/>
          <w:b w:val="0"/>
          <w:sz w:val="24"/>
        </w:rPr>
        <w:t>水温 (℃)与IC (mg/L)呈显著负相关(r=-0.609, p**)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88194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4_气体浓度箱线图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819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rFonts w:ascii="宋体" w:hAnsi="宋体" w:eastAsia="宋体"/>
          <w:b/>
          <w:sz w:val="20"/>
        </w:rPr>
        <w:t xml:space="preserve">图4 </w:t>
      </w:r>
      <w:r>
        <w:rPr>
          <w:rFonts w:ascii="宋体" w:hAnsi="宋体" w:eastAsia="宋体"/>
          <w:b w:val="0"/>
          <w:sz w:val="20"/>
        </w:rPr>
        <w:t>_气体浓度箱线图</w:t>
      </w:r>
    </w:p>
    <w:p>
      <w:pPr>
        <w:pStyle w:val="Heading1"/>
      </w:pPr>
      <w:r>
        <w:t>Regression Text</w:t>
      </w:r>
    </w:p>
    <w:p>
      <w:pPr>
        <w:pStyle w:val="Heading3"/>
      </w:pPr>
      <w:r>
        <w:t>回归分析结果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33688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5_液相指标箱线图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3368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rFonts w:ascii="宋体" w:hAnsi="宋体" w:eastAsia="宋体"/>
          <w:b/>
          <w:sz w:val="20"/>
        </w:rPr>
        <w:t xml:space="preserve">图5 </w:t>
      </w:r>
      <w:r>
        <w:rPr>
          <w:rFonts w:ascii="宋体" w:hAnsi="宋体" w:eastAsia="宋体"/>
          <w:b w:val="0"/>
          <w:sz w:val="20"/>
        </w:rPr>
        <w:t>_液相指标箱线图</w:t>
      </w:r>
    </w:p>
    <w:p>
      <w:pPr>
        <w:pStyle w:val="Heading1"/>
      </w:pPr>
      <w:r>
        <w:t>Carbon Balance Text</w:t>
      </w:r>
    </w:p>
    <w:p>
      <w:pPr>
        <w:pStyle w:val="Heading3"/>
      </w:pPr>
      <w:r>
        <w:t>碳平衡分析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443717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6_相关性热图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4371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rFonts w:ascii="宋体" w:hAnsi="宋体" w:eastAsia="宋体"/>
          <w:b/>
          <w:sz w:val="20"/>
        </w:rPr>
        <w:t xml:space="preserve">图6 </w:t>
      </w:r>
      <w:r>
        <w:rPr>
          <w:rFonts w:ascii="宋体" w:hAnsi="宋体" w:eastAsia="宋体"/>
          <w:b w:val="0"/>
          <w:sz w:val="20"/>
        </w:rPr>
        <w:t>_相关性热图</w:t>
      </w:r>
    </w:p>
    <w:p>
      <w:pPr>
        <w:spacing w:before="0" w:after="120"/>
      </w:pPr>
      <w:r>
        <w:rPr>
          <w:rFonts w:ascii="宋体" w:hAnsi="宋体" w:eastAsia="宋体"/>
          <w:b w:val="0"/>
          <w:sz w:val="24"/>
        </w:rPr>
        <w:t>图X 固液气三相碳污染物组成比例 图中数值表示各相态碳含量占总碳的百分比。碳含量为各采样点的算术平均值。</w:t>
      </w:r>
    </w:p>
    <w:p>
      <w:pPr>
        <w:spacing w:before="0" w:after="120"/>
      </w:pPr>
      <w:r>
        <w:rPr>
          <w:rFonts w:ascii="宋体" w:hAnsi="宋体" w:eastAsia="宋体"/>
          <w:b w:val="0"/>
          <w:sz w:val="24"/>
        </w:rPr>
        <w:t>图X 冬春季CH$_4$ (ppm), N$_2$O (ppm), CO$_2$ (ppm), CO2本底值箱线图比较 箱线图展示中位数、四分位距和异常值。星号表示Mann-Whitney U检验显著性：* p&lt;0.05，** p&lt;0.01，*** p&lt;0.001。</w:t>
      </w:r>
    </w:p>
    <w:p>
      <w:pPr>
        <w:spacing w:before="0" w:after="120"/>
      </w:pPr>
      <w:r>
        <w:rPr>
          <w:rFonts w:ascii="宋体" w:hAnsi="宋体" w:eastAsia="宋体"/>
          <w:b w:val="0"/>
          <w:sz w:val="24"/>
        </w:rPr>
        <w:t>图X 冬春季DO (mg/L), NaCl (mg/L), 电导率 (μS/cm), 水温 (℃)箱线图比较 箱线图展示中位数、四分位距和异常值。星号表示Mann-Whitney U检验显著性：* p&lt;0.05，** p&lt;0.01，*** p&lt;0.001。</w:t>
      </w:r>
    </w:p>
    <w:p>
      <w:pPr>
        <w:spacing w:before="0" w:after="120"/>
      </w:pPr>
      <w:r>
        <w:rPr>
          <w:rFonts w:ascii="宋体" w:hAnsi="宋体" w:eastAsia="宋体"/>
          <w:b w:val="0"/>
          <w:sz w:val="24"/>
        </w:rPr>
        <w:t>图X Pearson相关性矩阵 颜色深浅表示相关系数大小，红色为正相关，蓝色为负相关。* p&lt;0.05，** p&lt;0.01，*** p&lt;0.001。</w:t>
      </w:r>
    </w:p>
    <w:p>
      <w:pPr>
        <w:spacing w:before="0" w:after="120"/>
      </w:pPr>
      <w:r>
        <w:rPr>
          <w:rFonts w:ascii="宋体" w:hAnsi="宋体" w:eastAsia="宋体"/>
          <w:b w:val="0"/>
          <w:sz w:val="24"/>
        </w:rPr>
        <w:t>图X 主成分分析(PCA)双标图 PC1和PC2分别解释了0.0%和0.0%的方差。箭头表示变量在主成分空间中的载荷方向和大小。</w:t>
      </w:r>
    </w:p>
    <w:p>
      <w:pPr>
        <w:spacing w:before="0" w:after="120"/>
      </w:pPr>
      <w:r>
        <w:rPr>
          <w:rFonts w:ascii="宋体" w:hAnsi="宋体" w:eastAsia="宋体"/>
          <w:b w:val="0"/>
          <w:sz w:val="24"/>
        </w:rPr>
        <w:t>图X 层次聚类分析(HCA)树状图 采用Ward连接法，距离度量为欧氏距离。截断线位置表示聚类数目。</w:t>
      </w:r>
    </w:p>
    <w:p>
      <w:pPr>
        <w:spacing w:before="0" w:after="120"/>
      </w:pPr>
      <w:r>
        <w:rPr>
          <w:rFonts w:ascii="宋体" w:hAnsi="宋体" w:eastAsia="宋体"/>
          <w:b w:val="0"/>
          <w:sz w:val="24"/>
        </w:rPr>
        <w:t>图X X与Y的线性回归关系 实线为回归拟合线，阴影区域为95%置信区间。R²=0.000，p=1.0000。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