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论文</w:t>
      </w:r>
    </w:p>
    <w:p>
      <w:pPr>
        <w:pStyle w:val="Heading1"/>
      </w:pPr>
      <w:r>
        <w:t>1 引言</w:t>
      </w:r>
    </w:p>
    <w:p>
      <w:pPr>
        <w:spacing w:before="0" w:after="120"/>
        <w:ind w:firstLine="480"/>
      </w:pPr>
      <w:r>
        <w:rPr>
          <w:rFonts w:ascii="宋体" w:hAnsi="宋体" w:eastAsia="宋体"/>
          <w:b w:val="0"/>
          <w:sz w:val="24"/>
        </w:rPr>
        <w:t>1.1 研究背景与意义</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1.2 国内外研究现状</w:t>
      </w:r>
    </w:p>
    <w:p>
      <w:pPr>
        <w:spacing w:before="0" w:after="120"/>
        <w:ind w:firstLine="480"/>
      </w:pPr>
      <w:r>
        <w:rPr>
          <w:rFonts w:ascii="宋体" w:hAnsi="宋体" w:eastAsia="宋体"/>
          <w:b w:val="0"/>
          <w:sz w:val="24"/>
        </w:rPr>
        <w:t>污水管网碳污染物研究进展</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₄和CO₂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₄和CO₂）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校园污水管网研究现状</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1.3 现有研究不足</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1.4 研究内容与目标</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2.1 研究区域概况</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2.2 采样方案</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2.3 分析方法</w:t>
      </w:r>
    </w:p>
    <w:p>
      <w:pPr>
        <w:spacing w:before="0" w:after="120"/>
        <w:ind w:firstLine="480"/>
      </w:pPr>
      <w:r>
        <w:rPr>
          <w:rFonts w:ascii="宋体" w:hAnsi="宋体" w:eastAsia="宋体"/>
          <w:b w:val="0"/>
          <w:sz w:val="24"/>
        </w:rPr>
        <w:t>气相分析：采用便携式气体检测仪测定管道内CH₄、CO₂、O₂和VOCs浓度。检测前进行仪器校准，每个采样点重复测定3次取平均值。</w:t>
      </w:r>
    </w:p>
    <w:p>
      <w:pPr>
        <w:spacing w:before="0" w:after="120"/>
        <w:ind w:firstLine="480"/>
      </w:pPr>
      <w:r>
        <w:rPr>
          <w:rFonts w:ascii="宋体" w:hAnsi="宋体" w:eastAsia="宋体"/>
          <w:b w:val="0"/>
          <w:sz w:val="24"/>
        </w:rPr>
        <w:t>液相分析：采集管道内污水水样，经0.45μm滤膜过滤后测定溶解性指标。总有机碳(TOC)采用TOC分析仪测定(HJ 501-2009)；化学需氧量(COD)采用重铬酸盐法测定(GB 11914-89)；总氮(TN)采用碱性过硫酸钾消解紫外分光光度法(HJ 636-2012)；铵态氮(NH₄⁺-N)采用纳氏试剂分光光度法(HJ 535-2009)。</w:t>
      </w:r>
    </w:p>
    <w:p>
      <w:pPr>
        <w:spacing w:before="0" w:after="120"/>
        <w:ind w:firstLine="480"/>
      </w:pPr>
      <w:r>
        <w:rPr>
          <w:rFonts w:ascii="宋体" w:hAnsi="宋体" w:eastAsia="宋体"/>
          <w:b w:val="0"/>
          <w:sz w:val="24"/>
        </w:rPr>
        <w:t>固相分析：采集管道底部沉积物样品，自然风干后研磨过筛。固相总碳和有机碳采用元素分析仪测定。</w:t>
      </w:r>
    </w:p>
    <w:p>
      <w:pPr>
        <w:spacing w:before="0" w:after="120"/>
        <w:ind w:firstLine="480"/>
      </w:pPr>
      <w:r>
        <w:rPr>
          <w:rFonts w:ascii="宋体" w:hAnsi="宋体" w:eastAsia="宋体"/>
          <w:b w:val="0"/>
          <w:sz w:val="24"/>
        </w:rPr>
        <w:t>2.4 数据处理与统计分析</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2.5 碳平衡计算方法</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参考文献</w:t>
      </w:r>
    </w:p>
    <w:p>
      <w:pPr>
        <w:spacing w:before="0" w:after="120"/>
        <w:ind w:firstLine="480"/>
      </w:pPr>
      <w:r>
        <w:rPr>
          <w:rFonts w:ascii="宋体" w:hAnsi="宋体" w:eastAsia="宋体"/>
          <w:b w:val="0"/>
          <w:sz w:val="24"/>
        </w:rPr>
        <w:t>[1] 10-domain-knowledge. . [2] mechanism-kb. 2008. [3] 1-s2_0-S0301479721001985-main. 2021. [4] 2021-生态环境学报-中国胡焕庸线下方四区域沉积___生素污染特征及生态风险评价. 2021. [5] Atmospheric_Volatile_Organic_Compounds_in_a. . [6] chinese_zh. 2008. [7] chinese_zh_revision_report. . [8] On-line_monitoring_of_methane_in_sewer. . [9] _test_paper. . [10] 优化污水处理厂的气流速率和碳源剂量策略_迈向碳减排和强化脱氮. .</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