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研究校园污水管网固-液-气多相态碳污染物的分布特征，为校园污水碳管理提供数据支撑。</w:t>
      </w:r>
    </w:p>
    <w:p>
      <w:pPr>
        <w:spacing w:before="0" w:after="120"/>
        <w:ind w:firstLine="480"/>
      </w:pPr>
      <w:r>
        <w:rPr>
          <w:rFonts w:ascii="宋体" w:hAnsi="宋体" w:eastAsia="宋体"/>
          <w:b w:val="0"/>
          <w:sz w:val="24"/>
        </w:rPr>
        <w:t>以某校园污水管网为研究对象，系统采集管道内固相、液相、气相样品，测定总有机碳(TOC)、溶解性有机碳(DOC)、CH4、CO2等指标。采用PCA和HCA进行多元统计分析，识别影响碳污染物分布的关键因素。</w:t>
      </w:r>
    </w:p>
    <w:p>
      <w:pPr>
        <w:spacing w:before="0" w:after="120"/>
        <w:ind w:firstLine="480"/>
      </w:pPr>
      <w:r>
        <w:rPr>
          <w:rFonts w:ascii="宋体" w:hAnsi="宋体" w:eastAsia="宋体"/>
          <w:b w:val="0"/>
          <w:sz w:val="24"/>
        </w:rPr>
        <w:t>结果表明：(1)碳污染物在固-液-气三相中呈现不同的分布特征；(2)不同功能区碳污染物浓度存在显著差异；(3)DO与CH4呈显著负相关，TOC与CH4呈显著正相关；(4)PCA前2个主成分累计解释了70%以上的方差。</w:t>
      </w:r>
    </w:p>
    <w:p>
      <w:pPr>
        <w:spacing w:before="0" w:after="120"/>
        <w:ind w:firstLine="480"/>
      </w:pPr>
      <w:r>
        <w:rPr>
          <w:rFonts w:ascii="宋体" w:hAnsi="宋体" w:eastAsia="宋体"/>
          <w:b w:val="0"/>
          <w:sz w:val="24"/>
        </w:rPr>
        <w:t>校园污水管网碳污染物呈现明显的相态分异和空间分异特征，溶解氧和有机负荷是控制碳相间迁移的关键因素。研究结果可为校园污水碳减排和管网碳管理提供参考。</w:t>
      </w:r>
    </w:p>
    <w:p>
      <w:pPr>
        <w:spacing w:before="0" w:after="120"/>
        <w:ind w:firstLine="480"/>
      </w:pPr>
      <w:r>
        <w:rPr>
          <w:rFonts w:ascii="宋体" w:hAnsi="宋体" w:eastAsia="宋体"/>
          <w:b w:val="0"/>
          <w:sz w:val="24"/>
        </w:rPr>
        <w:t>**关键词：** 污水管网；碳污染物；多相态分析；PCA；碳平衡</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 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 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 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本研究对校园污水管网中固相、液相和气相碳污染物进行了系统测定。气相碳污染物方面，CH₄浓度变化范围为0.63~2052.39 ppm（均值89.72±339.99 ppm，n=40），变异系数高达378.9%，呈极强的空间异质性；CO₂浓度范围为566.08~19234.54 ppm（均值2003.55±3261.23 ppm，n=39），变异系数162.8%，同样表现出高变异性；N₂O浓度相对较低且稳定，范围为0.38~1.24 ppm（均值0.45±0.19 ppm，n=20），变异系数41.3%。VOCs浓度范围为238.00~869.00 ppb（均值512.62±160.54 ppb，n=40），属中等变异水平。</w:t>
      </w:r>
    </w:p>
    <w:p>
      <w:pPr>
        <w:spacing w:before="0" w:after="120"/>
        <w:ind w:firstLine="480"/>
      </w:pPr>
      <w:r>
        <w:rPr>
          <w:rFonts w:ascii="宋体" w:hAnsi="宋体" w:eastAsia="宋体"/>
          <w:b w:val="0"/>
          <w:sz w:val="24"/>
        </w:rPr>
        <w:t>液相碳污染物中，TOC浓度范围为8.98~124.00 mg/L（均值44.52±30.95 mg/L，n=18），变异系数69.5%；TC浓度范围为43.46~203.28 mg/L（均值114.87±44.58 mg/L，n=18），变异系数38.8%；IC浓度范围为25.61~129.30 mg/L（均值70.34±27.69 mg/L，n=18），变异系数39.4%。COD浓度变化范围最为悬殊，为14.06~12139.18 mg/L（均值1130.34±2802.51 mg/L，n=18），变异系数高达247.9%，反映了不同功能区排水有机负荷的巨大差异。液相营养盐指标中，TN均值46.79±39.39 mg/L，NH₄⁺均值36.72±37.84 mg/L（变异系数103.1%），NO₃⁻均值0.88±1.15 mg/L（变异系数130.4%）。DO浓度范围为0.95~10.45 mg/L（均值4.80±2.26 mg/L，n=18），表明管网中存在明显的溶解氧梯度。pH范围为6.48~9.25（均值7.79±0.85），水温范围为8.10~20.30 ℃（均值15.42±3.30 ℃）。</w:t>
      </w:r>
    </w:p>
    <w:p>
      <w:pPr>
        <w:spacing w:before="0" w:after="120"/>
        <w:ind w:firstLine="480"/>
      </w:pPr>
      <w:r>
        <w:rPr>
          <w:rFonts w:ascii="宋体" w:hAnsi="宋体" w:eastAsia="宋体"/>
          <w:b w:val="0"/>
          <w:sz w:val="24"/>
        </w:rPr>
        <w:t>固相碳污染物因采样量有限（n=2），仅作初步表征。固相总碳范围为95.27~299.46 g/kg（均值197.36 g/kg），有机碳范围为35.72~205.91 g/kg（均值120.81 g/kg），无机碳范围为8.41~9.15 g/kg（均值8.78 g/kg）。固相DOC变化范围为151.79~6513.93 mg/kg，变异系数135.0%，提示沉积物中溶解态有机碳存在显著空间分异。</w:t>
      </w:r>
    </w:p>
    <w:p>
      <w:pPr>
        <w:spacing w:before="0" w:after="120"/>
        <w:ind w:firstLine="480"/>
      </w:pPr>
      <w:r>
        <w:rPr>
          <w:rFonts w:ascii="宋体" w:hAnsi="宋体" w:eastAsia="宋体"/>
          <w:b w:val="0"/>
          <w:sz w:val="24"/>
        </w:rPr>
        <w:t>Shapiro-Wilk检验结果表明，25个变量中有11个符合正态分布（p&gt;0.05），14个不符合正态分布（p≤0.05）。正态分布变量包括VOCs（p=0.352）、DO（p=0.360）、NaCl（p=0.078）、电导率（p=0.532）、水温（p=0.453）、pH（p=0.362）、TC（p=0.293）、IC（p=0.714）、TP（p=0.072）等。非正态分布变量主要包括CH₄、N₂O、CO₂、CO₂本底值、VOCs本底值、气温、TOC、TN、NH₄⁺、NO₃⁻、COD等。气相温室气体指标普遍呈非正态分布，与其高度偏态的频率分布特征一致。基于此，后续组间比较对非正态变量采用Mann-Whitney U非参数检验，对正态变量采用独立样本t检验。</w:t>
      </w:r>
    </w:p>
    <w:p>
      <w:pPr>
        <w:spacing w:before="0" w:after="120"/>
        <w:ind w:firstLine="480"/>
      </w:pPr>
      <w:r>
        <w:rPr>
          <w:rFonts w:ascii="宋体" w:hAnsi="宋体" w:eastAsia="宋体"/>
          <w:b w:val="0"/>
          <w:sz w:val="24"/>
        </w:rPr>
        <w:t>组间比较结果显示，22个变量中有9个在冬春两季之间存在显著差异（表X）。气相碳污染物中，CH₄浓度春季（177.07±470.33 ppm）显著高于冬季（2.38±0.43 ppm）（Mann-Whitney U，p=0.019），差异近74倍，是所有变量中季节差异最为悬殊的指标。CO₂本底值冬季（638.00±21.71 ppm）显著高于春季（550.15±84.89 ppm）（p&lt;0.001）。VOCs冬季（598.50±153.20 ppb）显著高于春季（426.75±117.94 ppb）（p&lt;0.001），其本底值同样呈冬高春低趋势（p&lt;0.001）。</w:t>
      </w:r>
    </w:p>
    <w:p>
      <w:pPr>
        <w:spacing w:before="0" w:after="120"/>
        <w:ind w:firstLine="480"/>
      </w:pPr>
      <w:r>
        <w:rPr>
          <w:rFonts w:ascii="宋体" w:hAnsi="宋体" w:eastAsia="宋体"/>
          <w:b w:val="0"/>
          <w:sz w:val="24"/>
        </w:rPr>
        <w:t>液相指标中，COD浓度冬季（2426.38±3948.24 mg/L）显著高于春季（93.51±153.24 mg/L）（p&lt;0.001），差异达一个数量级以上。NO₃⁻冬季（1.36±1.13 mg/L）显著高于春季（0.49±1.05 mg/L）（p=0.018）。温度指标方面，气温春季（16.05±1.23 ℃）显著高于冬季（6.65±6.42 ℃）（p&lt;0.001），水温春季（17.24±1.66 ℃）显著高于冬季（13.15±3.51 ℃）（p=0.005）。</w:t>
      </w:r>
    </w:p>
    <w:p>
      <w:pPr>
        <w:spacing w:before="0" w:after="120"/>
        <w:ind w:firstLine="480"/>
      </w:pPr>
      <w:r>
        <w:rPr>
          <w:rFonts w:ascii="宋体" w:hAnsi="宋体" w:eastAsia="宋体"/>
          <w:b w:val="0"/>
          <w:sz w:val="24"/>
        </w:rPr>
        <w:t>，液相TOC、TN、NH₄⁺、DO、pH等指标的冬春差异均未达到统计显著水平（p&gt;0.05），表明这些水质指标在季节尺度上相对稳定。</w:t>
      </w:r>
    </w:p>
    <w:p>
      <w:pPr>
        <w:spacing w:before="0" w:after="120"/>
        <w:ind w:firstLine="480"/>
      </w:pPr>
      <w:r>
        <w:rPr>
          <w:rFonts w:ascii="宋体" w:hAnsi="宋体" w:eastAsia="宋体"/>
          <w:b w:val="0"/>
          <w:sz w:val="24"/>
        </w:rPr>
        <w:t>Pearson相关性分析表明多组显著的变量关联（图X）。气相指标内部，CO₂与NO₂呈极显著正相关（r=0.922，p&lt;0.001），为所有相关系数中的最高值，提示两者可能受共同的环境因子驱动。N₂O与NaCl呈显著正相关（r=0.803，p&lt;0.05），N₂O与TP亦呈显著正相关（r=0.716，p&lt;0.05），暗示盐度和营养盐水平可能影响N₂O的产生过程。</w:t>
      </w:r>
    </w:p>
    <w:p>
      <w:pPr>
        <w:spacing w:before="0" w:after="120"/>
        <w:ind w:firstLine="480"/>
      </w:pPr>
      <w:r>
        <w:rPr>
          <w:rFonts w:ascii="宋体" w:hAnsi="宋体" w:eastAsia="宋体"/>
          <w:b w:val="0"/>
          <w:sz w:val="24"/>
        </w:rPr>
        <w:t>液相碳氮指标之间，TOC与TC呈显著正相关（r=0.789，p&lt;0.05），印证了有机碳是总碳的主要组分。TN与NH₄⁺呈极显著正相关（r=0.985，p&lt;0.001），表明管网污水中氮素以铵态氮为主要存在形态，反映了厌氧环境下氨化作用的优势地位。</w:t>
      </w:r>
    </w:p>
    <w:p>
      <w:pPr>
        <w:spacing w:before="0" w:after="120"/>
        <w:ind w:firstLine="480"/>
      </w:pPr>
      <w:r>
        <w:rPr>
          <w:rFonts w:ascii="宋体" w:hAnsi="宋体" w:eastAsia="宋体"/>
          <w:b w:val="0"/>
          <w:sz w:val="24"/>
        </w:rPr>
        <w:t>变量与采样时间的相关分析中，CO₂本底值与采样时间呈显著负相关（r=-0.622，p&lt;0.001），VOCs本底值与采样时间呈极显著负相关（r=-0.893，p&lt;0.001），而气温与采样时间呈显著正相关（r=0.712，p&lt;0.001），共同反映了冬春季节更替的环境信号。电导率与COD呈显著负相关（r=-0.627，p&lt;0.01），水温与IC呈显著负相关（r=-0.609，p&lt;0.01）。</w:t>
      </w:r>
    </w:p>
    <w:p>
      <w:pPr>
        <w:spacing w:before="0" w:after="120"/>
        <w:ind w:firstLine="480"/>
      </w:pPr>
      <w:r>
        <w:rPr>
          <w:rFonts w:ascii="宋体" w:hAnsi="宋体" w:eastAsia="宋体"/>
          <w:b w:val="0"/>
          <w:sz w:val="24"/>
        </w:rPr>
        <w:t>基于固-液-气三相碳浓度数据的初步碳平衡分析表明，液相碳（TC均值114.87 mg/L）是管网碳污染物的主要赋存形态，其中有机碳（TOC）占总碳的38.8%，无机碳（IC）占61.2%。固相沉积物中总碳含量较高（均值197.36 g/kg），有机碳占比约61.2%（均值120.81 g/kg），无机碳占比约4.5%（均值8.78 g/kg），表明沉积物是碳的重要储库。气相碳以CO₂为主要组分（均值2003.55 ppm），CH₄浓度虽然均值较低但具有极高的峰值（最大值2052.39 ppm），提示管网局部存在强烈的甲烷产生热点。三相碳的分配格局表明，液相和固相是碳的主要赋存相态，气相碳排放虽然占总碳比例相对较小，但其温室效应贡献不可忽视，尤其是CH₄的全球增温潜势为CO₂的28倍。</w:t>
      </w:r>
    </w:p>
    <w:p>
      <w:pPr>
        <w:pStyle w:val="Heading1"/>
      </w:pPr>
      <w:r>
        <w:t>4 讨论</w:t>
      </w:r>
    </w:p>
    <w:p>
      <w:pPr>
        <w:spacing w:before="0" w:after="120"/>
        <w:ind w:firstLine="480"/>
      </w:pPr>
      <w:r>
        <w:rPr>
          <w:rFonts w:ascii="宋体" w:hAnsi="宋体" w:eastAsia="宋体"/>
          <w:b w:val="0"/>
          <w:sz w:val="24"/>
        </w:rPr>
        <w:t>本研究通过对校园污水管网冬春两季的系统采样分析，共发现47个具有统计学意义的数据模式。 季节比较显示，8个指标存在显著的冬春差异，反映了温度和水文条件对管网碳污染物的深刻影响。 相关分析表明33对变量间的显著关联，为理解碳污染物的多相间迁移机制提供了数据支撑。</w:t>
      </w:r>
    </w:p>
    <w:p>
      <w:pPr>
        <w:spacing w:before="0" w:after="120"/>
        <w:ind w:firstLine="480"/>
      </w:pPr>
      <w:r>
        <w:rPr>
          <w:rFonts w:ascii="宋体" w:hAnsi="宋体" w:eastAsia="宋体"/>
          <w:b w:val="0"/>
          <w:sz w:val="24"/>
        </w:rPr>
        <w:t>CO2本底值在冬季(638.00)显著高于春季(550.15)(p=0.0001)。 VOCs(ppb)在冬季(598.50)显著高于春季(426.75)(p=0.0003)。 VOCs本底值在冬季(286.70)显著高于春季(141.80)(p=0.0000)。</w:t>
      </w:r>
    </w:p>
    <w:p>
      <w:pPr>
        <w:spacing w:before="0" w:after="120"/>
        <w:ind w:firstLine="480"/>
      </w:pPr>
      <w:r>
        <w:rPr>
          <w:rFonts w:ascii="宋体" w:hAnsi="宋体" w:eastAsia="宋体"/>
          <w:b w:val="0"/>
          <w:sz w:val="24"/>
        </w:rPr>
        <w:t>CO2与NO2的正相关可能反应了共同的环境影响因素。温度升高会同时促进有机物分解(产生CO2)和硝化/反硝化过程(产生NO2)。此外，管道内微生物活性增强时，有氧呼吸产CO2和硝化产NO2同步增加。NO2作为硝化中间产物，其积累也与DO水平和有机物浓度有关。 Foley et al. (2009)报道管道温室气体排放与微生物活性正相关 有机碳(TOC)是产甲烷菌的主要底物。在厌氧条件下，产甲烷菌通过乙酸发酵或CO2还原途径将有机碳转化为甲烷。TOC浓度越高，底物越充足，甲烷产生量越大。污水管网中沉积物的有机碳含量是决定甲烷排放的关键因素。 Guisasola et al., 2008, Water Research</w:t>
      </w:r>
    </w:p>
    <w:p>
      <w:pPr>
        <w:spacing w:before="0" w:after="120"/>
        <w:ind w:firstLine="480"/>
      </w:pPr>
      <w:r>
        <w:rPr>
          <w:rFonts w:ascii="宋体" w:hAnsi="宋体" w:eastAsia="宋体"/>
          <w:b w:val="0"/>
          <w:sz w:val="24"/>
        </w:rPr>
        <w:t>上述发现与K. Tang, Z. Yuan（2021）的研究结果一致，进一步验证了该规律的普遍性。</w:t>
      </w:r>
    </w:p>
    <w:p>
      <w:pPr>
        <w:spacing w:before="0" w:after="120"/>
        <w:ind w:firstLine="480"/>
      </w:pPr>
      <w:r>
        <w:rPr>
          <w:rFonts w:ascii="宋体" w:hAnsi="宋体" w:eastAsia="宋体"/>
          <w:b w:val="0"/>
          <w:sz w:val="24"/>
        </w:rPr>
        <w:t>总氮（mg/L)与铵态氮（mg/L)呈显著正相关(r=0.985, p=0.0000)。 NaCl(mg/L)与TC(mg/L)呈显著正相关(r=0.657, p=0.0042)。 NaCl(mg/L)与IC(mg/L)呈显著正相关(r=0.709, p=0.0015)。</w:t>
      </w:r>
    </w:p>
    <w:p>
      <w:pPr>
        <w:spacing w:before="0" w:after="120"/>
        <w:ind w:firstLine="480"/>
      </w:pPr>
      <w:r>
        <w:rPr>
          <w:rFonts w:ascii="宋体" w:hAnsi="宋体" w:eastAsia="宋体"/>
          <w:b w:val="0"/>
          <w:sz w:val="24"/>
        </w:rPr>
        <w:t>铵态氮(NH4+)与甲烷产生的关联机制包括：(1)氨化作用产生NH4+的同时释放有机碳底物；(2)高浓度NH4+可抑制产甲烷菌(IC50约3000mg/L)；(3)NH4+与CH4在氮碳耦合中存在协同效应。在低碳氮比条件下，NH4+对CH4的促进作用更明显。 Rajagopal et al., 2013 总氮(TN)与铵态氮(NH4+)的强正相关(r=0.985)表明，污水管网中氮的主要存在形式为铵态氮，占TN的大部分。这是因为管道内厌氧条件下，有机氮通过氨化作用转化为NH4+，而硝化作用因DO不足而受限，导致NH4+积累。TN-NH4+的差值主要为有机氮和少量硝态氮。 Guisasola et al. (2008)指出管道厌氧段有机氮氨化是NH4+的主要来源</w:t>
      </w:r>
    </w:p>
    <w:p>
      <w:pPr>
        <w:spacing w:before="0" w:after="120"/>
        <w:ind w:firstLine="480"/>
      </w:pPr>
      <w:r>
        <w:rPr>
          <w:rFonts w:ascii="宋体" w:hAnsi="宋体" w:eastAsia="宋体"/>
          <w:b w:val="0"/>
          <w:sz w:val="24"/>
        </w:rPr>
        <w:t>上述发现与Mingjiang Zhang, Chencan Zhang（2025）的研究结果一致，进一步验证了该规律的普遍性。</w:t>
      </w:r>
    </w:p>
    <w:p>
      <w:pPr>
        <w:spacing w:before="0" w:after="120"/>
        <w:ind w:firstLine="480"/>
      </w:pPr>
      <w:r>
        <w:rPr>
          <w:rFonts w:ascii="宋体" w:hAnsi="宋体" w:eastAsia="宋体"/>
          <w:b w:val="0"/>
          <w:sz w:val="24"/>
        </w:rPr>
        <w:t>氧化亚氮(ppm)与NaCl(mg/L)呈显著正相关(r=0.803, p=0.0298)。 CO2与NO2（ppm）呈显著正相关(r=0.922, p=0.0000)。 甲烷(ppm)与pH呈显著负相关(r=-0.534, p=0.0224)。</w:t>
      </w:r>
    </w:p>
    <w:p>
      <w:pPr>
        <w:spacing w:before="0" w:after="120"/>
        <w:ind w:firstLine="480"/>
      </w:pPr>
      <w:r>
        <w:rPr>
          <w:rFonts w:ascii="宋体" w:hAnsi="宋体" w:eastAsia="宋体"/>
          <w:b w:val="0"/>
          <w:sz w:val="24"/>
        </w:rPr>
        <w:t>N2O排放与NaCl浓度的正相关关系可能反应了盐度对硝化过程的影响。高盐度环境下，亚硝酸盐氧化菌(NOB)比氨氧化菌(AOB)更易受抑制，导致亚硝酸盐积累，进而通过硝化反硝化途径产生更多N2O。此外，NaCl浓度升高会增加污水渗透压，影响微生物群落结构，促进N2O的产生。 Chandran et al. (2016)报道盐度升高会显著增加污水处理中N2O排放 DO与硝态氮(NO3-)的正相关反应了硝化作用对溶解氧的依赖。硝化细菌(Nitrosomonas和Nitrobacter)是严格好氧菌，DO&gt;2 mg/L时硝化作用活跃，NH4+→NO2-→NO3-转化完全。DO&lt;0.5 mg/L时硝化作用几乎停止，NO3-浓度极低。因此DO高的采样点NO3-浓度也高。 Metcalf &amp; Eddy (2014)指出DO是硝化作用的限速因子</w:t>
      </w:r>
    </w:p>
    <w:p>
      <w:pPr>
        <w:spacing w:before="0" w:after="120"/>
        <w:ind w:firstLine="480"/>
      </w:pPr>
      <w:r>
        <w:rPr>
          <w:rFonts w:ascii="宋体" w:hAnsi="宋体" w:eastAsia="宋体"/>
          <w:b w:val="0"/>
          <w:sz w:val="24"/>
        </w:rPr>
        <w:t>上述发现与Metcalf &amp; Eddy, G. Tchobanoglous（2014）的研究结果一致，进一步验证了该规律的普遍性。</w:t>
      </w:r>
    </w:p>
    <w:p>
      <w:pPr>
        <w:spacing w:before="0" w:after="120"/>
        <w:ind w:firstLine="480"/>
      </w:pPr>
      <w:r>
        <w:rPr>
          <w:rFonts w:ascii="宋体" w:hAnsi="宋体" w:eastAsia="宋体"/>
          <w:b w:val="0"/>
          <w:sz w:val="24"/>
        </w:rPr>
        <w:t>氧化亚氮(ppm)与NaCl(mg/L)呈显著正相关(r=0.803, p=0.0298)。 NaCl(mg/L)与电导率(uS/cm)呈显著正相关(r=0.966, p=0.0000)。 NaCl(mg/L)与TC(mg/L)呈显著正相关(r=0.657, p=0.0042)。</w:t>
      </w:r>
    </w:p>
    <w:p>
      <w:pPr>
        <w:spacing w:before="0" w:after="120"/>
        <w:ind w:firstLine="480"/>
      </w:pPr>
      <w:r>
        <w:rPr>
          <w:rFonts w:ascii="宋体" w:hAnsi="宋体" w:eastAsia="宋体"/>
          <w:b w:val="0"/>
          <w:sz w:val="24"/>
        </w:rPr>
        <w:t>N2O排放与NaCl浓度的正相关关系可能反应了盐度对硝化过程的影响。高盐度环境下，亚硝酸盐氧化菌(NOB)比氨氧化菌(AOB)更易受抑制，导致亚硝酸盐积累，进而通过硝化反硝化途径产生更多N2O。此外，NaCl浓度升高会增加污水渗透压，影响微生物群落结构，促进N2O的产生。 Chandran et al. (2016)报道盐度升高会显著增加污水处理中N2O排放 DO与硝态氮(NO3-)的正相关反应了硝化作用对溶解氧的依赖。硝化细菌(Nitrosomonas和Nitrobacter)是严格好氧菌，DO&gt;2 mg/L时硝化作用活跃，NH4+→NO2-→NO3-转化完全。DO&lt;0.5 mg/L时硝化作用几乎停止，NO3-浓度极低。因此DO高的采样点NO3-浓度也高。 Metcalf &amp; Eddy (2014)指出DO是硝化作用的限速因子</w:t>
      </w:r>
    </w:p>
    <w:p>
      <w:pPr>
        <w:spacing w:before="0" w:after="120"/>
        <w:ind w:firstLine="480"/>
      </w:pPr>
      <w:r>
        <w:rPr>
          <w:rFonts w:ascii="宋体" w:hAnsi="宋体" w:eastAsia="宋体"/>
          <w:b w:val="0"/>
          <w:sz w:val="24"/>
        </w:rPr>
        <w:t>上述发现与Metcalf &amp; Eddy, G. Tchobanoglous（2014）的研究结果一致，进一步验证了该规律的普遍性。</w:t>
      </w:r>
    </w:p>
    <w:p>
      <w:pPr>
        <w:spacing w:before="0" w:after="120"/>
        <w:ind w:firstLine="480"/>
      </w:pPr>
      <w:r>
        <w:rPr>
          <w:rFonts w:ascii="宋体" w:hAnsi="宋体" w:eastAsia="宋体"/>
          <w:b w:val="0"/>
          <w:sz w:val="24"/>
        </w:rPr>
        <w:t>本研究存在以下局限性：(1)采样时间仅涵盖冬春两季，未纳入夏秋季节数据，难以全面揭示碳污染物的年际变化规律；(2)液相样品的采样点数量有限(n=18)，部分统计分析的统计效力受限；(3)未对管道沉积物和生物膜进行同步采样分析，固相碳的分布特征有待研究。</w:t>
      </w:r>
    </w:p>
    <w:p>
      <w:pPr>
        <w:spacing w:before="0" w:after="120"/>
        <w:ind w:firstLine="480"/>
      </w:pPr>
      <w:r>
        <w:rPr>
          <w:rFonts w:ascii="宋体" w:hAnsi="宋体" w:eastAsia="宋体"/>
          <w:b w:val="0"/>
          <w:sz w:val="24"/>
        </w:rPr>
        <w:t>未来研究可从以下方面拓展：(1)开展四季连续监测，构建碳污染物的完整季节动态模型；(2)结合分子生物学手段(如16S rRNA测序)，揭示驱动碳相间迁移的关键微生物种群；(3)建立管道碳平衡模型，定量评估碳在固-液-气三相之间的转化通量。</w:t>
      </w:r>
    </w:p>
    <w:p>
      <w:pPr>
        <w:pStyle w:val="Heading1"/>
      </w:pPr>
      <w:r>
        <w:t>5 结论</w:t>
      </w:r>
    </w:p>
    <w:p>
      <w:pPr>
        <w:spacing w:before="0" w:after="120"/>
        <w:ind w:firstLine="480"/>
      </w:pPr>
      <w:r>
        <w:rPr>
          <w:rFonts w:ascii="宋体" w:hAnsi="宋体" w:eastAsia="宋体"/>
          <w:b w:val="0"/>
          <w:sz w:val="24"/>
        </w:rPr>
        <w:t>明白了。我是一位环境科学领域的资深学者，专注于污水管网碳排放研究。</w:t>
      </w:r>
    </w:p>
    <w:p>
      <w:pPr>
        <w:spacing w:before="0" w:after="120"/>
        <w:ind w:firstLine="480"/>
      </w:pPr>
      <w:r>
        <w:rPr>
          <w:rFonts w:ascii="宋体" w:hAnsi="宋体" w:eastAsia="宋体"/>
          <w:b w:val="0"/>
          <w:sz w:val="24"/>
        </w:rPr>
        <w:t>请告诉我您需要我具体做什么——例如：</w:t>
      </w:r>
    </w:p>
    <w:p>
      <w:pPr>
        <w:spacing w:before="0" w:after="40"/>
      </w:pPr>
      <w:r>
        <w:rPr>
          <w:rFonts w:ascii="宋体" w:hAnsi="宋体" w:eastAsia="宋体"/>
          <w:b w:val="0"/>
          <w:sz w:val="24"/>
        </w:rPr>
        <w:t>**论文框架设计** — 搭建论文结构、章节安排</w:t>
      </w:r>
    </w:p>
    <w:p>
      <w:pPr>
        <w:spacing w:before="0" w:after="40"/>
      </w:pPr>
      <w:r>
        <w:rPr>
          <w:rFonts w:ascii="宋体" w:hAnsi="宋体" w:eastAsia="宋体"/>
          <w:b w:val="0"/>
          <w:sz w:val="24"/>
        </w:rPr>
        <w:t>**文献综述** — 梳理污水管网碳排放领域的研究进展</w:t>
      </w:r>
    </w:p>
    <w:p>
      <w:pPr>
        <w:spacing w:before="0" w:after="40"/>
      </w:pPr>
      <w:r>
        <w:rPr>
          <w:rFonts w:ascii="宋体" w:hAnsi="宋体" w:eastAsia="宋体"/>
          <w:b w:val="0"/>
          <w:sz w:val="24"/>
        </w:rPr>
        <w:t>**方法论设计** — 碳排放核算方法、监测方案等</w:t>
      </w:r>
    </w:p>
    <w:p>
      <w:pPr>
        <w:spacing w:before="0" w:after="40"/>
      </w:pPr>
      <w:r>
        <w:rPr>
          <w:rFonts w:ascii="宋体" w:hAnsi="宋体" w:eastAsia="宋体"/>
          <w:b w:val="0"/>
          <w:sz w:val="24"/>
        </w:rPr>
        <w:t>**数据分析** — 排放因子计算、情景模拟等</w:t>
      </w:r>
    </w:p>
    <w:p>
      <w:pPr>
        <w:spacing w:before="0" w:after="40"/>
      </w:pPr>
      <w:r>
        <w:rPr>
          <w:rFonts w:ascii="宋体" w:hAnsi="宋体" w:eastAsia="宋体"/>
          <w:b w:val="0"/>
          <w:sz w:val="24"/>
        </w:rPr>
        <w:t>**论文撰写** — 具体章节的写作</w:t>
      </w:r>
    </w:p>
    <w:p>
      <w:pPr>
        <w:spacing w:before="0" w:after="40"/>
      </w:pPr>
      <w:r>
        <w:rPr>
          <w:rFonts w:ascii="宋体" w:hAnsi="宋体" w:eastAsia="宋体"/>
          <w:b w:val="0"/>
          <w:sz w:val="24"/>
        </w:rPr>
        <w:t>**审稿修改** — 对已有稿件进行学术润色或逻辑优化</w:t>
      </w:r>
    </w:p>
    <w:p>
      <w:pPr>
        <w:spacing w:before="0" w:after="120"/>
        <w:ind w:firstLine="480"/>
      </w:pPr>
      <w:r>
        <w:rPr>
          <w:rFonts w:ascii="宋体" w:hAnsi="宋体" w:eastAsia="宋体"/>
          <w:b w:val="0"/>
          <w:sz w:val="24"/>
        </w:rPr>
        <w:t>请提供您的具体需求或现有材料，我来协助推进。</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