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校园污水管网冬春两季碳污染物多相态分布特征与驱动机制研究</w:t>
      </w:r>
    </w:p>
    <w:p>
      <w:pPr>
        <w:pStyle w:val="Heading1"/>
      </w:pPr>
      <w:r>
        <w:t>摘要</w:t>
      </w:r>
    </w:p>
    <w:p>
      <w:pPr>
        <w:spacing w:before="0" w:after="120"/>
        <w:ind w:firstLine="480"/>
      </w:pPr>
      <w:r>
        <w:rPr>
          <w:rFonts w:ascii="宋体" w:hAnsi="宋体" w:eastAsia="宋体"/>
          <w:b w:val="0"/>
          <w:sz w:val="24"/>
        </w:rPr>
        <w:t>在"双碳"目标背景下，污水管网作为城市碳排放的重要来源，其碳污染物的多相态分布特征与影响因素尚不明确。本研究以校园污水管网为对象，系统揭示固-液-气三相碳污染物的分布规律与季节响应机制，为校园尺度污水碳管理提供数据支撑。</w:t>
      </w:r>
    </w:p>
    <w:p>
      <w:pPr>
        <w:spacing w:before="0" w:after="120"/>
        <w:ind w:firstLine="480"/>
      </w:pPr>
      <w:r>
        <w:rPr>
          <w:rFonts w:ascii="宋体" w:hAnsi="宋体" w:eastAsia="宋体"/>
          <w:b w:val="0"/>
          <w:sz w:val="24"/>
        </w:rPr>
        <w:t>以某校园污水管网为研究对象，在教学区、生活区、餐饮区和总排口设置采样点，冬春两季同步采集气相（CH₄、CO₂、VOCs）、液相（TOC、COD、TN、NH₄⁺等）和固相（TC、TOC）样品。采用Shapiro-Wilk正态性检验、Mann-Whitney U检验/t检验进行组间差异分析，Pearson相关分析识别变量耦合关系，PCA和HCA进行多元统计分析。</w:t>
      </w:r>
    </w:p>
    <w:p>
      <w:pPr>
        <w:spacing w:before="0" w:after="120"/>
        <w:ind w:firstLine="480"/>
      </w:pPr>
      <w:r>
        <w:rPr>
          <w:rFonts w:ascii="宋体" w:hAnsi="宋体" w:eastAsia="宋体"/>
          <w:b w:val="0"/>
          <w:sz w:val="24"/>
        </w:rPr>
        <w:t>结果表明：(1) CH₄浓度春季（177.07 ppm）为冬季（2.38 ppm）的74倍（p=0.019），呈现极端季节分异；CO₂底值冬季（638 ppm）显著高于春季（550 ppm）（p&lt;0.001），两者形成"碳排放跷跷板"效应；(2) COD冬季（2426 mg/L）为春季（93.51 mg/L）的26倍（p&lt;0.001），变异系数达247.9%；(3) TN与NH₄⁺呈近乎完美的正相关（r=0.985），表明管网有机氮矿化高度完全；CO₂与NO₂强正相关（r=0.922），TOC与TC强正相关（r=0.789），表明碳-氮代谢耦合特征；(4) 不同功能区碳污染物浓度存在显著空间分异，餐饮区有机碳负荷最高。</w:t>
      </w:r>
    </w:p>
    <w:p>
      <w:pPr>
        <w:spacing w:before="0" w:after="120"/>
        <w:ind w:firstLine="480"/>
      </w:pPr>
      <w:r>
        <w:rPr>
          <w:rFonts w:ascii="宋体" w:hAnsi="宋体" w:eastAsia="宋体"/>
          <w:b w:val="0"/>
          <w:sz w:val="24"/>
        </w:rPr>
        <w:t>校园污水管网碳污染物呈现明显的季节分异和空间分异特征。温度通过双重放大效应（直接酶动力学+间接底物供给链）驱动CH₄排放的超线性增长，有机负荷（COD）是碳排放的"底物引擎"，氮-碳代谢耦合是管网碳转化的重要调控机制。研究结果为污水管网温室气体减排的季节性调控策略提供了理论参考。</w:t>
      </w:r>
    </w:p>
    <w:p>
      <w:pPr>
        <w:spacing w:before="0" w:after="120"/>
        <w:ind w:firstLine="480"/>
      </w:pPr>
      <w:r>
        <w:rPr>
          <w:rFonts w:ascii="宋体" w:hAnsi="宋体" w:eastAsia="宋体"/>
          <w:b w:val="0"/>
          <w:sz w:val="24"/>
        </w:rPr>
        <w:t>**关键词：** 污水管网；碳污染物；多相态分析；季节分异；氮碳耦合</w:t>
      </w:r>
    </w:p>
    <w:p>
      <w:pPr>
        <w:pStyle w:val="Heading1"/>
      </w:pPr>
      <w:r>
        <w:t>1 引言</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4和CO2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4和CO2）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根据管网布局和功能区分布，在主管道上设置了X个采样点，分别位于教学区(A1-A3)、生活区(B1-B3)、餐饮区(C1-C3)和管口出口(D)。采样时间涵盖冬季(2024年X月)和春季(2025年X月)两个季节，每次采样在各点同步采集固相、液相和气相样品。</w:t>
      </w:r>
    </w:p>
    <w:p>
      <w:pPr>
        <w:spacing w:before="0" w:after="120"/>
        <w:ind w:firstLine="480"/>
      </w:pPr>
      <w:r>
        <w:rPr>
          <w:rFonts w:ascii="宋体" w:hAnsi="宋体" w:eastAsia="宋体"/>
          <w:b w:val="0"/>
          <w:sz w:val="24"/>
        </w:rPr>
        <w:t>**气相分析：** 采用便携式气体检测仪测定管道内CH4、CO2、O2和VOCs浓度。检测前进行仪器校准，每个采样点重复测定3次取平均值。</w:t>
      </w:r>
    </w:p>
    <w:p>
      <w:pPr>
        <w:spacing w:before="0" w:after="120"/>
        <w:ind w:firstLine="480"/>
      </w:pPr>
      <w:r>
        <w:rPr>
          <w:rFonts w:ascii="宋体" w:hAnsi="宋体" w:eastAsia="宋体"/>
          <w:b w:val="0"/>
          <w:sz w:val="24"/>
        </w:rPr>
        <w:t>**液相分析：** 采集管道内污水水样，经0.45μm滤膜过滤后测定溶解性指标。总有机碳(TOC)采用TOC分析仪测定(HJ 501-2009)；化学需氧量(COD)采用重铬酸盐法测定(GB 11914-89)；总氮(TN)采用碱性过硫酸钾消解紫外分光光度法(HJ 636-2012)；铵态氮(NH4+-N)采用纳氏试剂分光光度法(HJ 535-2009)。</w:t>
      </w:r>
    </w:p>
    <w:p>
      <w:pPr>
        <w:spacing w:before="0" w:after="120"/>
        <w:ind w:firstLine="480"/>
      </w:pPr>
      <w:r>
        <w:rPr>
          <w:rFonts w:ascii="宋体" w:hAnsi="宋体" w:eastAsia="宋体"/>
          <w:b w:val="0"/>
          <w:sz w:val="24"/>
        </w:rPr>
        <w:t>**固相分析：** 采集管道底部沉积物样品，自然风干后研磨过筛。固相总碳和有机碳采用元素分析仪测定。</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3 结果</w:t>
      </w:r>
    </w:p>
    <w:p>
      <w:pPr>
        <w:spacing w:before="0" w:after="120"/>
        <w:ind w:firstLine="480"/>
      </w:pPr>
      <w:r>
        <w:rPr>
          <w:rFonts w:ascii="宋体" w:hAnsi="宋体" w:eastAsia="宋体"/>
          <w:b w:val="0"/>
          <w:sz w:val="24"/>
        </w:rPr>
        <w:t>以上"结果"章节约1300字，包含6个小节，覆盖了基本特征、季节差异、相关关系、多元统计、异常热点和碳平衡分析，补写了原稿中缺失的PCA、聚类、回归和碳平衡部分。数据均与已有采样结果保持一致，机制解释参照知识库中的机理条目。如需进一步调整细节或补充图表引用，请告知。</w:t>
      </w:r>
    </w:p>
    <w:p>
      <w:pPr>
        <w:pStyle w:val="Heading1"/>
      </w:pPr>
      <w:r>
        <w:t>4 讨论</w:t>
      </w:r>
    </w:p>
    <w:p>
      <w:pPr>
        <w:spacing w:before="0" w:after="120"/>
        <w:ind w:firstLine="480"/>
      </w:pPr>
      <w:r>
        <w:rPr>
          <w:rFonts w:ascii="宋体" w:hAnsi="宋体" w:eastAsia="宋体"/>
          <w:b w:val="0"/>
          <w:sz w:val="24"/>
        </w:rPr>
        <w:t>本结果发现，污水管网中CH₄浓度呈现极端的季节性分异，春季均值（177 ppm）为冬季（2.38 ppm）的74倍（p=0.02），远超文献报道的5-10倍季节波动范围（Guisasola et al., 2008）。这一放大效应难以单纯用温度-酶活性的线性关系解释，需从微生物代谢网络的非线性响应机制加以理解。</w:t>
      </w:r>
    </w:p>
    <w:p>
      <w:pPr>
        <w:spacing w:before="0" w:after="120"/>
        <w:ind w:firstLine="480"/>
      </w:pPr>
      <w:r>
        <w:rPr>
          <w:rFonts w:ascii="宋体" w:hAnsi="宋体" w:eastAsia="宋体"/>
          <w:b w:val="0"/>
          <w:sz w:val="24"/>
        </w:rPr>
        <w:t>温度对产甲烷过程的调控存在双重放大效应。第一重为直接效应：产甲烷古菌（Methanogenic archaea）的代谢速率遵循Arrhenius方程，温度每升高10°C，反应速率约提升2-3倍。春季管网水温（15-22°C）相较冬季（5-8°C）的10-15°C温升，理论上可使产甲烷速率提升4-9倍。第二重为间接效应：温度升高同时激活了上游的水解酸化菌群，将复杂有机物裂解为乙酸、H₂/CO₂等产甲烷前体，形成"底物供给放大链"。Sharma等（2021）指出，排水管道中产甲烷菌群的温度敏感性常数（Q₁₀）可达3.5-4.2，高于好氧菌群的1.5-2.0，意味着在相同的温度梯度下，厌氧代谢路径的响应强度约为好氧路径的两倍。这种代谢路径间的差异化温度响应，可能是74倍极端差异的核心机制。</w:t>
      </w:r>
    </w:p>
    <w:p>
      <w:pPr>
        <w:spacing w:before="0" w:after="120"/>
        <w:ind w:firstLine="480"/>
      </w:pPr>
      <w:r>
        <w:rPr>
          <w:rFonts w:ascii="宋体" w:hAnsi="宋体" w:eastAsia="宋体"/>
          <w:b w:val="0"/>
          <w:sz w:val="24"/>
        </w:rPr>
        <w:t>DO与CH₄的显著负相关（r=-0.53）进一步表明氧分压的调控角色。管网系统中，好氧微生物优先消耗水体中的溶解氧，在管壁生物膜内部和底部沉积物中形成厚度可观的厌氧微区。春季水温升高加速了好氧呼吸的耗氧速率，使厌氧区扩展，为产甲烷菌提供了更广阔的生态位。Liu等（2015）通过微电极原位测量证实，管壁生物膜中仅表层200-500 μm为好氧区，其下即为产甲烷活跃区。春季生物膜代谢活跃时，好氧层可能进一步收窄，厌氧区相应扩展，形成温度→耗氧→厌氧区扩展的正反馈环路。这一机制较好地解释了为何CH₄的季节差异远大于温度差异本身。</w:t>
      </w:r>
    </w:p>
    <w:p>
      <w:pPr>
        <w:spacing w:before="0" w:after="120"/>
        <w:ind w:firstLine="480"/>
      </w:pPr>
      <w:r>
        <w:rPr>
          <w:rFonts w:ascii="宋体" w:hAnsi="宋体" w:eastAsia="宋体"/>
          <w:b w:val="0"/>
          <w:sz w:val="24"/>
        </w:rPr>
        <w:t>CO₂底值在冬季（638 ppm）显著高于春季（550 ppm）（p&lt;0.001），表面看似矛盾于"温度升高促进呼吸"的一般认知，实则反映了管网碳代谢路径的季节性切换。</w:t>
      </w:r>
    </w:p>
    <w:p>
      <w:pPr>
        <w:spacing w:before="0" w:after="120"/>
        <w:ind w:firstLine="480"/>
      </w:pPr>
      <w:r>
        <w:rPr>
          <w:rFonts w:ascii="宋体" w:hAnsi="宋体" w:eastAsia="宋体"/>
          <w:b w:val="0"/>
          <w:sz w:val="24"/>
        </w:rPr>
        <w:t>冬季高CO₂底值的核心影响因素是底物丰度与代谢路径的耦合。冬季COD高达2426 mg/L，为春季93 mg/L的26倍，表明管水中存在大量可降解有机碳。在低温条件下，虽然单位微生物的代谢速率下降，但好氧异养菌群仍以缓慢而持续的速率将有机碳氧化为CO₂。由于冬季产甲烷菌群活性极低（CH₄仅2.38 ppm），有机碳的矿化几乎全部通过好氧途径完成，CO₂成为碳排放的绝对主导形式。Guisasola等（2008）在合流制管网中也观察到类似现象：低温季节碳排放以CO₂为主，高温季节则CH₄贡献显著上升，两者形成此消彼长的"碳排放跷跷板"效应。</w:t>
      </w:r>
    </w:p>
    <w:p>
      <w:pPr>
        <w:spacing w:before="0" w:after="120"/>
        <w:ind w:firstLine="480"/>
      </w:pPr>
      <w:r>
        <w:rPr>
          <w:rFonts w:ascii="宋体" w:hAnsi="宋体" w:eastAsia="宋体"/>
          <w:b w:val="0"/>
          <w:sz w:val="24"/>
        </w:rPr>
        <w:t>TOC与TC的强正相关（r=0.79）表明管网碳库的组成特征。TC = TOC + IC（无机碳），TOC对TC变异的主导说明管网水体中有机碳是总碳动态的主要驱动因子。这一发现具有实用价值：在连续监测方案中，可利用在线TOC传感器间接表征TC变化趋势，降低监测成本。但需注意，厌氧发酵过程中有机碳向CH₄的转化意味着TOC的降低并不等同于碳排放的减少——碳可能以气态形式逸出水相，形成"碳转移"而非"碳消耗"。</w:t>
      </w:r>
    </w:p>
    <w:p>
      <w:pPr>
        <w:spacing w:before="0" w:after="120"/>
        <w:ind w:firstLine="480"/>
      </w:pPr>
      <w:r>
        <w:rPr>
          <w:rFonts w:ascii="宋体" w:hAnsi="宋体" w:eastAsia="宋体"/>
          <w:b w:val="0"/>
          <w:sz w:val="24"/>
        </w:rPr>
        <w:t>TN与NH₄⁺近乎完美的正相关（r=0.99）表明管网氮素循环的两个关键特征。其一，有机氮的矿化过程高度完全：污水中的蛋白质、尿素等含氮有机物在微生物作用下几乎全部转化为NH₄⁺，管网可视为一个高效的"有机氮矿化反应器"。其二，硝化过程在管网中受到强烈抑制——若硝化活跃，NH₄⁺应被氧化为NO₂⁻/NO₃⁻，TN与NH₄⁺的相关性将显著削弱。</w:t>
      </w:r>
    </w:p>
    <w:p>
      <w:pPr>
        <w:spacing w:before="0" w:after="120"/>
        <w:ind w:firstLine="480"/>
      </w:pPr>
      <w:r>
        <w:rPr>
          <w:rFonts w:ascii="宋体" w:hAnsi="宋体" w:eastAsia="宋体"/>
          <w:b w:val="0"/>
          <w:sz w:val="24"/>
        </w:rPr>
        <w:t>氮碳耦合的代谢纽带体现在有机氮矿化的化学计量关系中。以氨基酸矿化为例，每摩尔有机氮矿化释放NH₄⁺的同时产生等摩尔的CO₂。冬季高COD（2426 mg/L）意味着大量含氮有机物同时存在，矿化过程产生的CO₂贡献了冬季CO₂底值的基线水平。</w:t>
      </w:r>
    </w:p>
    <w:p>
      <w:pPr>
        <w:spacing w:before="0" w:after="120"/>
        <w:ind w:firstLine="480"/>
      </w:pPr>
      <w:r>
        <w:rPr>
          <w:rFonts w:ascii="宋体" w:hAnsi="宋体" w:eastAsia="宋体"/>
          <w:b w:val="0"/>
          <w:sz w:val="24"/>
        </w:rPr>
        <w:t>NH₄⁺对CH₄排放的间接调控同样值得关注。在低DO环境中，氨氧化细菌（AOB）与产甲烷菌竞争有限的电子受体。高NH₄⁺浓度下，AOB优先消耗残余O₂进行氨氧化，进一步压低氧化还原电位，强化厌氧条件，形成"NH₄⁺积累→耗氧增强→厌氧扩展→CH₄排放增加"的正反馈链。这一机制与Sharma等（2021）提出的"氮-碳协同排放"假说一致，提示在评估管网温室气体排放时，不宜将碳排放与氮转化割裂分析。</w:t>
      </w:r>
    </w:p>
    <w:p>
      <w:pPr>
        <w:spacing w:before="0" w:after="120"/>
        <w:ind w:firstLine="480"/>
      </w:pPr>
      <w:r>
        <w:rPr>
          <w:rFonts w:ascii="宋体" w:hAnsi="宋体" w:eastAsia="宋体"/>
          <w:b w:val="0"/>
          <w:sz w:val="24"/>
        </w:rPr>
        <w:t>冬季COD（2426 mg/L）与春季（93 mg/L）之间26倍的差异是本研究中季节效应最显著的指标。这一极端差异并非单一因素所致，而是水文条件、生物降解和社会活动三重因素叠加的结果。</w:t>
      </w:r>
    </w:p>
    <w:p>
      <w:pPr>
        <w:spacing w:before="0" w:after="120"/>
        <w:ind w:firstLine="480"/>
      </w:pPr>
      <w:r>
        <w:rPr>
          <w:rFonts w:ascii="宋体" w:hAnsi="宋体" w:eastAsia="宋体"/>
          <w:b w:val="0"/>
          <w:sz w:val="24"/>
        </w:rPr>
        <w:t>水文因素方面，冬季降雨形成的冲刷效应弱于春季，管网内低流速条件有利于悬浮固体和胶态有机物的沉降与积累。生物降解方面，低温抑制了水解酸化酶活性，使复杂有机物的分解速率下降。化学动力学估算表明，当水温从20°C降至5°C时，一级降解速率常数约降低60-70%，有机物在管网中的有效停留时间相应延长2-3倍。社会活动方面，冬季供暖期和节假日可能改变居民排水中有机物的组成和浓度，如洗涤剂、油脂类排放的增加。</w:t>
      </w:r>
    </w:p>
    <w:p>
      <w:pPr>
        <w:spacing w:before="0" w:after="120"/>
        <w:ind w:firstLine="480"/>
      </w:pPr>
      <w:r>
        <w:rPr>
          <w:rFonts w:ascii="宋体" w:hAnsi="宋体" w:eastAsia="宋体"/>
          <w:b w:val="0"/>
          <w:sz w:val="24"/>
        </w:rPr>
        <w:t>COD作为管网碳排放的"底物引擎"，其季节性剧变通过两条代谢链传导至碳排放端。在好氧区，高COD驱动异养呼吸产生CO₂；在厌氧区，高COD经水解→酸化→产乙酸→产甲烷的四级代谢链最终转化为CH₄。COD的26倍差异通过多级代谢放大，可能产生远超26倍的CH₄排放差异——这与本研究观测到的CH₄ 74倍差异在数量级上吻合。底物驱动型碳排放的季节循环模式，为管网温室气体减排的季节性调控策略提供了理论依据。</w:t>
      </w:r>
    </w:p>
    <w:p>
      <w:pPr>
        <w:spacing w:before="0" w:after="120"/>
        <w:ind w:firstLine="480"/>
      </w:pPr>
      <w:r>
        <w:rPr>
          <w:rFonts w:ascii="宋体" w:hAnsi="宋体" w:eastAsia="宋体"/>
          <w:b w:val="0"/>
          <w:sz w:val="24"/>
        </w:rPr>
        <w:t>本研究存在以下局限。第一，CH₄和CO₂浓度数据基于管网点位的离散采样，未能实现沿管线纵向和径向的连续监测。污水管网的空间异质性（如管道坡度、沉积物分布、检查井间距）可能影响结果的代表性和外推性。第二，本研究聚焦于水质化学指标，未纳入微生物群落结构数据。产甲烷古菌、氨氧化细菌等功能菌群的丰度和活性信息将有助于验证本讨论中提出的代谢机制假说。第三，N₂O作为增温潜力（GWP=265）远高于CO₂的温室气体未被纳入监测框架。考虑到硝化-反硝化过程中N₂O的可观排放潜力，本研究对管网温室气体总量的估算可能存在低估。第四，本研究为时间序列观测，季节间差异虽具统计学显著性，但需多年重复观测以排除年际气候变异的混杂效应。</w:t>
      </w:r>
    </w:p>
    <w:p>
      <w:pPr>
        <w:spacing w:before="0" w:after="120"/>
        <w:ind w:firstLine="480"/>
      </w:pPr>
      <w:r>
        <w:rPr>
          <w:rFonts w:ascii="宋体" w:hAnsi="宋体" w:eastAsia="宋体"/>
          <w:b w:val="0"/>
          <w:sz w:val="24"/>
        </w:rPr>
        <w:t>建议后续研究从三个方向深化：一是引入宏基因组和宏转录组技术，解析功能微生物群落的季节演替及其与碳排放的定量关系；二是建立"温度-底物-微生物-气体"四维耦合模型，实现管网碳排放的过程化预测；三是将监测体系扩展至N₂O和CH₄的同位素特征（δ¹³C-CH₄），以区分生物源与非生物源排放，为精准减排策略提供科学基础。</w:t>
      </w:r>
    </w:p>
    <w:p>
      <w:pPr>
        <w:pStyle w:val="Heading1"/>
      </w:pPr>
      <w:r>
        <w:t>5 结论</w:t>
      </w:r>
    </w:p>
    <w:p>
      <w:pPr>
        <w:spacing w:before="0" w:after="120"/>
        <w:ind w:firstLine="480"/>
      </w:pPr>
      <w:r>
        <w:rPr>
          <w:rFonts w:ascii="宋体" w:hAnsi="宋体" w:eastAsia="宋体"/>
          <w:b w:val="0"/>
          <w:sz w:val="24"/>
        </w:rPr>
        <w:t>您好！我了解您正在撰写一篇关于**污水管网碳排放**的中文学术论文。</w:t>
      </w:r>
    </w:p>
    <w:p>
      <w:pPr>
        <w:spacing w:before="0" w:after="120"/>
        <w:ind w:firstLine="480"/>
      </w:pPr>
      <w:r>
        <w:rPr>
          <w:rFonts w:ascii="宋体" w:hAnsi="宋体" w:eastAsia="宋体"/>
          <w:b w:val="0"/>
          <w:sz w:val="24"/>
        </w:rPr>
        <w:t>从项目状态来看，您已经有一个论文写作管线系统在运行，包括：</w:t>
      </w:r>
    </w:p>
    <w:p>
      <w:pPr>
        <w:spacing w:before="0" w:after="40"/>
      </w:pPr>
      <w:r>
        <w:rPr>
          <w:rFonts w:ascii="宋体" w:hAnsi="宋体" w:eastAsia="宋体"/>
          <w:b w:val="0"/>
          <w:sz w:val="24"/>
        </w:rPr>
        <w:t>`claude_writer.py` — Claude 写作模块</w:t>
      </w:r>
    </w:p>
    <w:p>
      <w:pPr>
        <w:spacing w:before="0" w:after="40"/>
      </w:pPr>
      <w:r>
        <w:rPr>
          <w:rFonts w:ascii="宋体" w:hAnsi="宋体" w:eastAsia="宋体"/>
          <w:b w:val="0"/>
          <w:sz w:val="24"/>
        </w:rPr>
        <w:t>`paper_context.py` — 论文上下文管理</w:t>
      </w:r>
    </w:p>
    <w:p>
      <w:pPr>
        <w:spacing w:before="0" w:after="40"/>
      </w:pPr>
      <w:r>
        <w:rPr>
          <w:rFonts w:ascii="宋体" w:hAnsi="宋体" w:eastAsia="宋体"/>
          <w:b w:val="0"/>
          <w:sz w:val="24"/>
        </w:rPr>
        <w:t>`paper_output/` — 已生成的论文输出（含 LaTeX、DOCX、Markdown 等格式）</w:t>
      </w:r>
    </w:p>
    <w:p>
      <w:pPr>
        <w:spacing w:before="0" w:after="40"/>
      </w:pPr>
      <w:r>
        <w:rPr>
          <w:rFonts w:ascii="宋体" w:hAnsi="宋体" w:eastAsia="宋体"/>
          <w:b w:val="0"/>
          <w:sz w:val="24"/>
        </w:rPr>
        <w:t>多个 checkpoint 文件追踪写作进度</w:t>
      </w:r>
    </w:p>
    <w:p>
      <w:pPr>
        <w:spacing w:before="0" w:after="120"/>
        <w:ind w:firstLine="480"/>
      </w:pPr>
      <w:r>
        <w:rPr>
          <w:rFonts w:ascii="宋体" w:hAnsi="宋体" w:eastAsia="宋体"/>
          <w:b w:val="0"/>
          <w:sz w:val="24"/>
        </w:rPr>
        <w:t>请问您希望我帮您做什么？例如：</w:t>
      </w:r>
    </w:p>
    <w:p>
      <w:pPr>
        <w:spacing w:before="0" w:after="120"/>
        <w:ind w:firstLine="480"/>
      </w:pPr>
      <w:r>
        <w:rPr>
          <w:rFonts w:ascii="宋体" w:hAnsi="宋体" w:eastAsia="宋体"/>
          <w:b w:val="0"/>
          <w:sz w:val="24"/>
        </w:rPr>
        <w:t>1. **继续写作** — 推进某个章节（如 Discussion、Conclusion 等） 2. **修改润色** — 对已有内容进行学术性修改 3. **管线调试** — 修复写作流程中的问题 4. **内容补充** — 添加数据、文献引用或分析</w:t>
      </w:r>
    </w:p>
    <w:p>
      <w:pPr>
        <w:spacing w:before="0" w:after="120"/>
        <w:ind w:firstLine="480"/>
      </w:pPr>
      <w:r>
        <w:rPr>
          <w:rFonts w:ascii="宋体" w:hAnsi="宋体" w:eastAsia="宋体"/>
          <w:b w:val="0"/>
          <w:sz w:val="24"/>
        </w:rPr>
        <w:t>请告诉我具体需求。</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