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276" w:rsidRDefault="00E907D7">
      <w:pPr>
        <w:rPr>
          <w:rFonts w:ascii="Open Sans" w:hAnsi="Open Sans" w:cs="Open Sans"/>
          <w:b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C3C3C"/>
          <w:spacing w:val="2"/>
          <w:sz w:val="23"/>
          <w:szCs w:val="23"/>
          <w:shd w:val="clear" w:color="auto" w:fill="FFFFFF"/>
        </w:rPr>
        <w:t>Analytical questions:</w:t>
      </w:r>
    </w:p>
    <w:p w:rsidR="00E907D7" w:rsidRDefault="00E907D7">
      <w:p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Is urban forest construction an effective measure to offset the increasing CO2 emissions that are caused urban expansion?</w:t>
      </w:r>
    </w:p>
    <w:p w:rsidR="00E907D7" w:rsidRPr="00E907D7" w:rsidRDefault="00E907D7">
      <w:p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Can we develop a model to estimate the carbon storage (CS) using vegetation index (VI) data obtained by TM images? </w:t>
      </w:r>
    </w:p>
    <w:p w:rsidR="00E907D7" w:rsidRDefault="00E907D7">
      <w:pPr>
        <w:rPr>
          <w:rFonts w:ascii="Open Sans" w:hAnsi="Open Sans" w:cs="Open Sans"/>
          <w:b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C3C3C"/>
          <w:spacing w:val="2"/>
          <w:sz w:val="23"/>
          <w:szCs w:val="23"/>
          <w:shd w:val="clear" w:color="auto" w:fill="FFFFFF"/>
        </w:rPr>
        <w:t>Aspects of the data and the phenomenon</w:t>
      </w:r>
    </w:p>
    <w:p w:rsidR="00E907D7" w:rsidRDefault="00E907D7">
      <w:p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 w:rsidRPr="00E907D7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The 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data was taken from TM images for 4 years from 1984 to 201</w:t>
      </w:r>
      <w:r w:rsidR="009D7491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4 and therefore had to be normalised to eliminate the effect of environmentally introduced radiometric properties.</w:t>
      </w:r>
    </w:p>
    <w:p w:rsidR="009D7491" w:rsidRDefault="009D7491">
      <w:p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To create a model sample plot</w:t>
      </w:r>
      <w:r w:rsidR="000B5E99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s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where identified within the region of interest with the samples being randomly selected to ensure that they represented different landcover types.</w:t>
      </w:r>
    </w:p>
    <w:p w:rsidR="009D7491" w:rsidRPr="00E907D7" w:rsidRDefault="009D7491">
      <w:p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Pearson’s correlation coefficients were used to select the best VI to use as an independent variable in the model to predict the CS value.</w:t>
      </w:r>
    </w:p>
    <w:p w:rsidR="00E907D7" w:rsidRDefault="00E907D7">
      <w:pPr>
        <w:rPr>
          <w:rFonts w:ascii="Open Sans" w:hAnsi="Open Sans" w:cs="Open Sans"/>
          <w:b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C3C3C"/>
          <w:spacing w:val="2"/>
          <w:sz w:val="23"/>
          <w:szCs w:val="23"/>
          <w:shd w:val="clear" w:color="auto" w:fill="FFFFFF"/>
        </w:rPr>
        <w:t>Structured comparison</w:t>
      </w:r>
    </w:p>
    <w:p w:rsidR="009D7491" w:rsidRDefault="009D7491">
      <w:p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spatio</w:t>
      </w:r>
      <w:proofErr w:type="spellEnd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-temporal analysis created two types of visualisation to study the phenomenon:</w:t>
      </w:r>
    </w:p>
    <w:p w:rsidR="009D7491" w:rsidRDefault="009D7491" w:rsidP="009D7491">
      <w:pPr>
        <w:pStyle w:val="ListParagraph"/>
        <w:numPr>
          <w:ilvl w:val="0"/>
          <w:numId w:val="1"/>
        </w:num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Map plot where the measured attribute</w:t>
      </w:r>
      <w:r w:rsidR="000B5E99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s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were plotted using a colour scheme for different bins on the values (decrease as red and increase as blue). Multiple versions of the map</w:t>
      </w:r>
      <w:r w:rsidR="00E020AB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plots one for each of the study years were plotted next to each other to observe the temporal characteristics of the phenomena</w:t>
      </w:r>
    </w:p>
    <w:p w:rsidR="00E020AB" w:rsidRDefault="00E020AB" w:rsidP="009D7491">
      <w:pPr>
        <w:pStyle w:val="ListParagraph"/>
        <w:numPr>
          <w:ilvl w:val="0"/>
          <w:numId w:val="1"/>
        </w:num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Histograms where used to present individual characteristics. Each bin represented one area in region of interest (i.e. concentric circles) and had one bar for each of the study years to </w:t>
      </w:r>
      <w:r w:rsidR="000B5E99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illustrate</w:t>
      </w:r>
      <w:bookmarkStart w:id="0" w:name="_GoBack"/>
      <w:bookmarkEnd w:id="0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the temporal effect of the event</w:t>
      </w:r>
    </w:p>
    <w:p w:rsidR="00AB4AF2" w:rsidRDefault="00E020AB" w:rsidP="009D7491">
      <w:pPr>
        <w:pStyle w:val="ListParagraph"/>
        <w:numPr>
          <w:ilvl w:val="0"/>
          <w:numId w:val="1"/>
        </w:num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The produced model indicated a non-linear relationship between the VI and the CS which was also visually presented by the polynomial regression line plotted on top of the sample data</w:t>
      </w:r>
    </w:p>
    <w:p w:rsidR="00AB4AF2" w:rsidRDefault="00AB4AF2">
      <w:p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br w:type="page"/>
      </w:r>
    </w:p>
    <w:p w:rsidR="000A6552" w:rsidRDefault="000A6552" w:rsidP="000A6552">
      <w:pP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</w:pP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lastRenderedPageBreak/>
        <w:t>Zhibin</w:t>
      </w:r>
      <w:proofErr w:type="spellEnd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</w:t>
      </w:r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Rena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, </w:t>
      </w:r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Haifeng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Zhenga</w:t>
      </w:r>
      <w:proofErr w:type="spellEnd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, </w:t>
      </w: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Xingyuan</w:t>
      </w:r>
      <w:proofErr w:type="spellEnd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Hea</w:t>
      </w:r>
      <w:proofErr w:type="spellEnd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, </w:t>
      </w:r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Dan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Zhangab</w:t>
      </w:r>
      <w:proofErr w:type="spellEnd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, </w:t>
      </w: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Guoqiang</w:t>
      </w:r>
      <w:proofErr w:type="spellEnd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Shena</w:t>
      </w:r>
      <w:proofErr w:type="spellEnd"/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, </w:t>
      </w:r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Chang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Zhaia</w:t>
      </w:r>
      <w:proofErr w:type="spellEnd"/>
      <w:r w:rsidR="00AB4AF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, “</w:t>
      </w:r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Changes in </w:t>
      </w:r>
      <w:proofErr w:type="spellStart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spatio</w:t>
      </w:r>
      <w:proofErr w:type="spellEnd"/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-temporal patterns of urban forest and its above-ground carbon storage: Implication for urban CO2 emissions mitigation under China's rapid urban expansion and greening</w:t>
      </w:r>
      <w:r w:rsidR="00AB4AF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”, </w:t>
      </w:r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Environment International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, </w:t>
      </w:r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Volume 129, August 2019, </w:t>
      </w:r>
      <w:r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>p.</w:t>
      </w:r>
      <w:r w:rsidRPr="000A6552">
        <w:rPr>
          <w:rFonts w:ascii="Open Sans" w:hAnsi="Open Sans" w:cs="Open Sans"/>
          <w:bCs/>
          <w:color w:val="3C3C3C"/>
          <w:spacing w:val="2"/>
          <w:sz w:val="23"/>
          <w:szCs w:val="23"/>
          <w:shd w:val="clear" w:color="auto" w:fill="FFFFFF"/>
        </w:rPr>
        <w:t xml:space="preserve"> 438-450</w:t>
      </w:r>
    </w:p>
    <w:p w:rsidR="009D7491" w:rsidRDefault="00E020AB" w:rsidP="000A6552">
      <w:r>
        <w:rPr>
          <w:noProof/>
        </w:rPr>
        <w:drawing>
          <wp:inline distT="0" distB="0" distL="0" distR="0" wp14:anchorId="6DFA9B00" wp14:editId="30A04D69">
            <wp:extent cx="2689860" cy="37462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428" cy="37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4AF73" wp14:editId="530AE42F">
            <wp:extent cx="2743200" cy="2249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515" cy="22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B3EE7"/>
    <w:multiLevelType w:val="hybridMultilevel"/>
    <w:tmpl w:val="C0D68C8C"/>
    <w:lvl w:ilvl="0" w:tplc="0F18659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D7"/>
    <w:rsid w:val="000A6552"/>
    <w:rsid w:val="000B5E99"/>
    <w:rsid w:val="001F1276"/>
    <w:rsid w:val="009274C1"/>
    <w:rsid w:val="009D7491"/>
    <w:rsid w:val="00AB4AF2"/>
    <w:rsid w:val="00DF410A"/>
    <w:rsid w:val="00E020AB"/>
    <w:rsid w:val="00E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D337"/>
  <w15:chartTrackingRefBased/>
  <w15:docId w15:val="{EB601D69-B28D-4D74-B10E-2B802FBD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88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Detorakis</dc:creator>
  <cp:keywords/>
  <dc:description/>
  <cp:lastModifiedBy>Zacharias Detorakis</cp:lastModifiedBy>
  <cp:revision>6</cp:revision>
  <dcterms:created xsi:type="dcterms:W3CDTF">2019-10-19T10:49:00Z</dcterms:created>
  <dcterms:modified xsi:type="dcterms:W3CDTF">2019-10-20T09:14:00Z</dcterms:modified>
</cp:coreProperties>
</file>