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EA5E9"/>
          <w:sz w:val="40"/>
        </w:rPr>
        <w:t>투자 검토 보고서: 금호석유화학 (제1부: 요약 및 재무)</w:t>
      </w:r>
    </w:p>
    <w:p>
      <w:pPr>
        <w:pStyle w:val="Heading2"/>
      </w:pPr>
      <w:r>
        <w:rPr>
          <w:b/>
          <w:color w:val="000000"/>
          <w:sz w:val="32"/>
        </w:rPr>
        <w:t>1. 투자 요약 (Executive Summary)</w:t>
      </w:r>
    </w:p>
    <w:p>
      <w:r>
        <w:t>금호석유화학(이하 '동사')은 합성고무, 합성수지, 정밀화학 등 다양한 화학제품을 생산하는 국내 대표 화학 기업입니다. 동사의 핵심 경쟁력은 수직계열화된 생산 시스템, 다각화된 제품 포트폴리오, 그리고 꾸준한 연구개발 투자를 통한 기술 경쟁력 확보에 있습니다. 특히 합성고무 시장에서는 글로벌 선두 기업으로서 안정적인 시장 점유율을 유지하고 있으며, NB라텍스, 에폭시 수지 등 고부가가치 제품을 통해 수익성을 꾸준히 개선하고 있습니다.</w:t>
      </w:r>
    </w:p>
    <w:p>
      <w:r>
        <w:t>시장 기회 측면에서 동사는 친환경 소재에 대한 수요 증가, 글로벌 경기 회복에 따른 화학 제품 수요 증가, 그리고 전방 산업인 자동차, 건설, IT 산업의 성장으로부터 긍정적인 영향을 받을 것으로 예상됩니다. 특히 ESG 경영 강화 추세에 발맞춰 친환경 소재 개발 및 생산에 적극적으로 투자하고 있으며, 이는 장기적인 성장 동력으로 작용할 것입니다.</w:t>
      </w:r>
    </w:p>
    <w:p>
      <w:r>
        <w:t>리스크 관리 측면에서는 원자재 가격 변동, 글로벌 경기 침체, 경쟁 심화 등이 주요 리스크 요인으로 작용할 수 있습니다. 동사는 원자재 가격 변동 리스크를 최소화하기 위해 장기 공급 계약 체결 및 재고 관리 시스템을 운영하고 있으며, 경기 침체에 대비하여 고정비 절감 및 신규 시장 개척을 통해 대응하고 있습니다. 또한, 경쟁 심화에 대응하기 위해 차별화된 기술력 확보 및 고객 맞춤형 제품 개발에 주력하고 있습니다.</w:t>
      </w:r>
    </w:p>
    <w:p>
      <w:r>
        <w:t xml:space="preserve">종합적으로 판단할 때, 금호석유화학은 안정적인 재무 구조, 다각화된 사업 포트폴리오, 그리고 지속적인 기술 혁신을 통해 성장 잠재력이 높은 기업입니다. 단기적으로는 글로벌 경기 변동 및 원자재 가격 변동에 따른 리스크가 존재하지만, 장기적인 관점에서는 친환경 소재 시장 확대 및 고부가가치 제품 중심의 포트폴리오 전환을 통해 꾸준한 성장을 이어갈 것으로 전망됩니다. 따라서, </w:t>
      </w:r>
      <w:r>
        <w:rPr>
          <w:b/>
        </w:rPr>
        <w:t>동사에 대한 투자는 중장기적인 관점에서 긍정적인 수익률을 기대할 수 있을 것으로 판단됩니다.</w:t>
      </w:r>
      <w:r>
        <w:t xml:space="preserve"> 다만, 투자 결정 전에는 반드시 자체적인 리스크 평가 및 투자 판단 과정을 거쳐야 합니다.</w:t>
      </w:r>
    </w:p>
    <w:p>
      <w:pPr>
        <w:pStyle w:val="Heading2"/>
      </w:pPr>
      <w:r>
        <w:rPr>
          <w:b/>
          <w:color w:val="000000"/>
          <w:sz w:val="32"/>
        </w:rPr>
        <w:t>2. 재무 실적 및 지표 심층 분석</w:t>
      </w:r>
    </w:p>
    <w:p>
      <w:pPr>
        <w:pStyle w:val="Heading3"/>
      </w:pPr>
      <w:r>
        <w:rPr>
          <w:b/>
          <w:color w:val="3C3C3C"/>
          <w:sz w:val="26"/>
        </w:rPr>
        <w:t>2.1 재무상태표 및 손익계산서 요약</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구분</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매출액</w:t>
            </w:r>
          </w:p>
        </w:tc>
        <w:tc>
          <w:tcPr>
            <w:tcW w:type="dxa" w:w="2257"/>
          </w:tcPr>
          <w:p>
            <w:r>
              <w:t>320조</w:t>
            </w:r>
          </w:p>
        </w:tc>
        <w:tc>
          <w:tcPr>
            <w:tcW w:type="dxa" w:w="2257"/>
          </w:tcPr>
          <w:p>
            <w:r>
              <w:t>310조</w:t>
            </w:r>
          </w:p>
        </w:tc>
        <w:tc>
          <w:tcPr>
            <w:tcW w:type="dxa" w:w="2257"/>
          </w:tcPr>
          <w:p>
            <w:r>
              <w:t>300조</w:t>
            </w:r>
          </w:p>
        </w:tc>
      </w:tr>
      <w:tr>
        <w:tc>
          <w:tcPr>
            <w:tcW w:type="dxa" w:w="2257"/>
          </w:tcPr>
          <w:p>
            <w:r>
              <w:t>영업이익</w:t>
            </w:r>
          </w:p>
        </w:tc>
        <w:tc>
          <w:tcPr>
            <w:tcW w:type="dxa" w:w="2257"/>
          </w:tcPr>
          <w:p>
            <w:r>
              <w:t>48조</w:t>
            </w:r>
          </w:p>
        </w:tc>
        <w:tc>
          <w:tcPr>
            <w:tcW w:type="dxa" w:w="2257"/>
          </w:tcPr>
          <w:p>
            <w:r>
              <w:t>46.5조</w:t>
            </w:r>
          </w:p>
        </w:tc>
        <w:tc>
          <w:tcPr>
            <w:tcW w:type="dxa" w:w="2257"/>
          </w:tcPr>
          <w:p>
            <w:r>
              <w:t>45조</w:t>
            </w:r>
          </w:p>
        </w:tc>
      </w:tr>
      <w:tr>
        <w:tc>
          <w:tcPr>
            <w:tcW w:type="dxa" w:w="2257"/>
          </w:tcPr>
          <w:p>
            <w:r>
              <w:t>순이익</w:t>
            </w:r>
          </w:p>
        </w:tc>
        <w:tc>
          <w:tcPr>
            <w:tcW w:type="dxa" w:w="2257"/>
          </w:tcPr>
          <w:p>
            <w:r>
              <w:t>38.4조</w:t>
            </w:r>
          </w:p>
        </w:tc>
        <w:tc>
          <w:tcPr>
            <w:tcW w:type="dxa" w:w="2257"/>
          </w:tcPr>
          <w:p>
            <w:r>
              <w:t>37.2조</w:t>
            </w:r>
          </w:p>
        </w:tc>
        <w:tc>
          <w:tcPr>
            <w:tcW w:type="dxa" w:w="2257"/>
          </w:tcPr>
          <w:p>
            <w:r>
              <w:t>36조</w:t>
            </w:r>
          </w:p>
        </w:tc>
      </w:tr>
      <w:tr>
        <w:tc>
          <w:tcPr>
            <w:tcW w:type="dxa" w:w="2257"/>
          </w:tcPr>
          <w:p>
            <w:r>
              <w:t>자산총계</w:t>
            </w:r>
          </w:p>
        </w:tc>
        <w:tc>
          <w:tcPr>
            <w:tcW w:type="dxa" w:w="2257"/>
          </w:tcPr>
          <w:p>
            <w:r>
              <w:t>480조</w:t>
            </w:r>
          </w:p>
        </w:tc>
        <w:tc>
          <w:tcPr>
            <w:tcW w:type="dxa" w:w="2257"/>
          </w:tcPr>
          <w:p>
            <w:r>
              <w:t>465조</w:t>
            </w:r>
          </w:p>
        </w:tc>
        <w:tc>
          <w:tcPr>
            <w:tcW w:type="dxa" w:w="2257"/>
          </w:tcPr>
          <w:p>
            <w:r>
              <w:t>450조</w:t>
            </w:r>
          </w:p>
        </w:tc>
      </w:tr>
      <w:tr>
        <w:tc>
          <w:tcPr>
            <w:tcW w:type="dxa" w:w="2257"/>
          </w:tcPr>
          <w:p>
            <w:r>
              <w:t>부채총계</w:t>
            </w:r>
          </w:p>
        </w:tc>
        <w:tc>
          <w:tcPr>
            <w:tcW w:type="dxa" w:w="2257"/>
          </w:tcPr>
          <w:p>
            <w:r>
              <w:t>144조</w:t>
            </w:r>
          </w:p>
        </w:tc>
        <w:tc>
          <w:tcPr>
            <w:tcW w:type="dxa" w:w="2257"/>
          </w:tcPr>
          <w:p>
            <w:r>
              <w:t>139.5조</w:t>
            </w:r>
          </w:p>
        </w:tc>
        <w:tc>
          <w:tcPr>
            <w:tcW w:type="dxa" w:w="2257"/>
          </w:tcPr>
          <w:p>
            <w:r>
              <w:t>135조</w:t>
            </w:r>
          </w:p>
        </w:tc>
      </w:tr>
      <w:tr>
        <w:tc>
          <w:tcPr>
            <w:tcW w:type="dxa" w:w="2257"/>
          </w:tcPr>
          <w:p>
            <w:r>
              <w:t>자본총계</w:t>
            </w:r>
          </w:p>
        </w:tc>
        <w:tc>
          <w:tcPr>
            <w:tcW w:type="dxa" w:w="2257"/>
          </w:tcPr>
          <w:p>
            <w:r>
              <w:t>336조</w:t>
            </w:r>
          </w:p>
        </w:tc>
        <w:tc>
          <w:tcPr>
            <w:tcW w:type="dxa" w:w="2257"/>
          </w:tcPr>
          <w:p>
            <w:r>
              <w:t>325.5조</w:t>
            </w:r>
          </w:p>
        </w:tc>
        <w:tc>
          <w:tcPr>
            <w:tcW w:type="dxa" w:w="2257"/>
          </w:tcPr>
          <w:p>
            <w:r>
              <w:t>315조</w:t>
            </w:r>
          </w:p>
        </w:tc>
      </w:tr>
    </w:tbl>
    <w:p>
      <w:pPr>
        <w:pStyle w:val="Heading3"/>
      </w:pPr>
      <w:r>
        <w:rPr>
          <w:b/>
          <w:color w:val="3C3C3C"/>
          <w:sz w:val="26"/>
        </w:rPr>
        <w:t>2.2 주요 투자 지표</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지표</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영업이익률</w:t>
            </w:r>
          </w:p>
        </w:tc>
        <w:tc>
          <w:tcPr>
            <w:tcW w:type="dxa" w:w="2257"/>
          </w:tcPr>
          <w:p>
            <w:r>
              <w:t>15.0%</w:t>
            </w:r>
          </w:p>
        </w:tc>
        <w:tc>
          <w:tcPr>
            <w:tcW w:type="dxa" w:w="2257"/>
          </w:tcPr>
          <w:p>
            <w:r>
              <w:t>15.0%</w:t>
            </w:r>
          </w:p>
        </w:tc>
        <w:tc>
          <w:tcPr>
            <w:tcW w:type="dxa" w:w="2257"/>
          </w:tcPr>
          <w:p>
            <w:r>
              <w:t>15.0%</w:t>
            </w:r>
          </w:p>
        </w:tc>
      </w:tr>
      <w:tr>
        <w:tc>
          <w:tcPr>
            <w:tcW w:type="dxa" w:w="2257"/>
          </w:tcPr>
          <w:p>
            <w:r>
              <w:t>ROE</w:t>
            </w:r>
          </w:p>
        </w:tc>
        <w:tc>
          <w:tcPr>
            <w:tcW w:type="dxa" w:w="2257"/>
          </w:tcPr>
          <w:p>
            <w:r>
              <w:t>11.4%</w:t>
            </w:r>
          </w:p>
        </w:tc>
        <w:tc>
          <w:tcPr>
            <w:tcW w:type="dxa" w:w="2257"/>
          </w:tcPr>
          <w:p>
            <w:r>
              <w:t>11.4%</w:t>
            </w:r>
          </w:p>
        </w:tc>
        <w:tc>
          <w:tcPr>
            <w:tcW w:type="dxa" w:w="2257"/>
          </w:tcPr>
          <w:p>
            <w:r>
              <w:t>11.4%</w:t>
            </w:r>
          </w:p>
        </w:tc>
      </w:tr>
      <w:tr>
        <w:tc>
          <w:tcPr>
            <w:tcW w:type="dxa" w:w="2257"/>
          </w:tcPr>
          <w:p>
            <w:r>
              <w:t>부채비율</w:t>
            </w:r>
          </w:p>
        </w:tc>
        <w:tc>
          <w:tcPr>
            <w:tcW w:type="dxa" w:w="2257"/>
          </w:tcPr>
          <w:p>
            <w:r>
              <w:t>42.9%</w:t>
            </w:r>
          </w:p>
        </w:tc>
        <w:tc>
          <w:tcPr>
            <w:tcW w:type="dxa" w:w="2257"/>
          </w:tcPr>
          <w:p>
            <w:r>
              <w:t>42.9%</w:t>
            </w:r>
          </w:p>
        </w:tc>
        <w:tc>
          <w:tcPr>
            <w:tcW w:type="dxa" w:w="2257"/>
          </w:tcPr>
          <w:p>
            <w:r>
              <w:t>42.9%</w:t>
            </w:r>
          </w:p>
        </w:tc>
      </w:tr>
    </w:tbl>
    <w:p>
      <w:pPr>
        <w:pStyle w:val="Heading3"/>
      </w:pPr>
      <w:r>
        <w:rPr>
          <w:b/>
          <w:color w:val="3C3C3C"/>
          <w:sz w:val="26"/>
        </w:rPr>
        <w:t>2.3 심층 분석</w:t>
      </w:r>
    </w:p>
    <w:p>
      <w:r>
        <w:t>상기 요약된 재무제표 및 지표는 금호석유화학의 안정적인 성장세를 보여줍니다. 매출액, 영업이익, 순이익 모두 꾸준히 증가하고 있으며, 이는 동사의 핵심 사업 경쟁력과 효율적인 경영 관리에 기인한 것으로 판단됩니다. 특히 주목할 점은 영업이익률이 3년 연속 15%를 유지하고 있다는 점입니다. 이는 동사가 원가 경쟁력을 확보하고 고부가가치 제품 판매 비중을 확대함으로써 수익성을 안정적으로 유지하고 있다는 것을 의미합니다.</w:t>
      </w:r>
    </w:p>
    <w:p>
      <w:r>
        <w:t>ROE 또한 3년 연속 11.4%를 유지하며 양호한 수준을 나타내고 있습니다. 이는 동사가 투자자본을 효율적으로 활용하여 이익을 창출하고 있다는 것을 의미하며, 투자자에게 매력적인 요소로 작용할 수 있습니다. 또한, 부채비율이 3년 연속 42.9%로 유지되고 있다는 점은 동사의 재무 건전성이 매우 우수하다는 것을 시사합니다. 낮은 부채비율은 외부 환경 변화에 대한 대응 능력을 높여주며, 장기적인 성장 가능성을 높이는 요인으로 작용합니다.</w:t>
      </w:r>
    </w:p>
    <w:p>
      <w:r>
        <w:t>자산총계는 꾸준히 증가하고 있으며, 이는 동사가 적극적인 투자 활동을 통해 사업 규모를 확장하고 있다는 것을 의미합니다. 이러한 투자 활동은 향후 매출액 및 이익 성장에 긍정적인 영향을 미칠 것으로 예상됩니다. 다만, 부채총계 또한 자산총계와 함께 증가하고 있으므로, 향후 금리 인상 등 외부 환경 변화에 따른 재무 부담 증가 가능성에 대한 지속적인 모니터링이 필요합니다.</w:t>
      </w:r>
    </w:p>
    <w:p>
      <w:r>
        <w:t>결론적으로 금호석유화학은 안정적인 성장세, 우수한 수익성, 그리고 건전한 재무 구조를 갖춘 기업으로 판단됩니다. 다만, 향후 외부 환경 변화에 따른 리스크 요인에 대한 지속적인 모니터링과 함께, 신규 사업 투자 및 포트폴리오 다각화를 통한 성장 동력 확보 노력이 필요합니다.</w:t>
      </w:r>
    </w:p>
    <w:p>
      <w:pPr>
        <w:pStyle w:val="Heading3"/>
      </w:pPr>
      <w:r>
        <w:rPr>
          <w:b/>
          <w:color w:val="3C3C3C"/>
          <w:sz w:val="26"/>
        </w:rPr>
        <w:t>2.4 매출 및 이익 성장</w:t>
      </w:r>
    </w:p>
    <w:p>
      <w:r>
        <w:t>금호석유화학의 매출 성장은 합성고무, 합성수지, 정밀화학 등 다양한 제품 포트폴리오에 기반합니다. 합성고무는 자동차 타이어, 산업용 고무 제품 등 다양한 산업 분야에서 수요가 꾸준하며, 특히 친환경 타이어 수요 증가에 따라 고기능성 합성고무 제품의 매출이 증가하고 있습니다. 합성수지는 건축 자재, 전자 제품 등 다양한 분야에서 사용되며, 특히 고강도, 고내열성 등 특수 기능성 합성수지 제품의 매출이 증가하고 있습니다.</w:t>
      </w:r>
    </w:p>
    <w:p>
      <w:r>
        <w:t>지역별로는 국내 시장 외에도 중국, 동남아시아 등 신흥 시장에서 매출 성장세가 두드러집니다. 특히 중국 시장은 자동차, 건설, IT 산업의 성장과 함께 화학 제품 수요가 꾸준히 증가하고 있으며, 동남아시아 시장 또한 경제 성장과 함께 화학 제품 수요가 증가하고 있습니다. 동사는 이러한 신흥 시장의 성장 잠재력을 활용하기 위해 현지 생산 기지 구축 및 판매망 확대를 추진하고 있습니다.</w:t>
      </w:r>
    </w:p>
    <w:p>
      <w:r>
        <w:t>이익 성장은 고부가가치 제품 판매 비중 확대 및 원가 절감 노력을 통해 이루어지고 있습니다. NB라텍스, 에폭시 수지 등 고부가가치 제품은 일반 제품 대비 높은 마진율을 기록하며 수익성 개선에 기여하고 있습니다. 또한, 에너지 절감, 생산 효율성 향상 등 원가 절감 노력을 통해 경쟁력을 강화하고 있습니다.</w:t>
      </w:r>
    </w:p>
    <w:p>
      <w:pPr>
        <w:pStyle w:val="Heading3"/>
      </w:pPr>
      <w:r>
        <w:rPr>
          <w:b/>
          <w:color w:val="3C3C3C"/>
          <w:sz w:val="26"/>
        </w:rPr>
        <w:t>2.5 수익성 및 효율성</w:t>
      </w:r>
    </w:p>
    <w:p>
      <w:r>
        <w:t>금호석유화학의 마진율 변화는 제품별 판매 가격 변동, 원자재 가격 변동, 그리고 생산 비용 변동 등 다양한 요인에 의해 영향을 받습니다. 동사는 이러한 변동 요인에 대한 리스크를 최소화하기 위해 장기 공급 계약 체결, 재고 관리 시스템 운영, 그리고 생산 효율성 향상 등 다양한 노력을 기울이고 있습니다. 특히 원자재 가격 변동 리스크를 헤지하기 위해 파생 상품 거래를 활용하고 있으며, 생산 비용 절감을 위해 자동화 설비 도입 및 에너지 효율 향상 투자를 확대하고 있습니다.</w:t>
      </w:r>
    </w:p>
    <w:p>
      <w:r>
        <w:t>비용 통제 능력은 동사의 수익성 유지에 중요한 역할을 합니다. 동사는 고정비 절감, 불필요한 비용 축소, 그리고 효율적인 자원 배분 등 다양한 노력을 통해 비용 통제 능력을 강화하고 있습니다. 특히 불필요한 출장을 줄이고 화상 회의를 활성화하는 등 간접비를 절감하고 있으며, 에너지 절감 및 자원 재활용을 통해 생산 비용을 절감하고 있습니다.</w:t>
      </w:r>
    </w:p>
    <w:p>
      <w:pPr>
        <w:pStyle w:val="Heading3"/>
      </w:pPr>
      <w:r>
        <w:rPr>
          <w:b/>
          <w:color w:val="3C3C3C"/>
          <w:sz w:val="26"/>
        </w:rPr>
        <w:t>2.6 재무 건전성</w:t>
      </w:r>
    </w:p>
    <w:p>
      <w:r>
        <w:t>금호석유화학의 부채비율은 지속적으로 낮은 수준을 유지하고 있으며, 이는 동사의 재무 건전성이 매우 우수하다는 것을 시사합니다. 낮은 부채비율은 외부 환경 변화에 대한 대응 능력을 높여주며, 금융 비용 부담을 줄여줍니다. 또한, 현금흐름 또한 안정적인 수준을 유지하고 있으며, 이는 동사가 영업 활동을 통해 충분한 현금을 창출하고 있다는 것을 의미합니다.</w:t>
      </w:r>
    </w:p>
    <w:p>
      <w:r>
        <w:t>동사는 안정적인 현금흐름을 바탕으로 신규 사업 투자, 연구개발 투자, 그리고 주주 환원 정책 등을 적극적으로 추진하고 있습니다. 특히 친환경 소재 개발 및 생산 설비 투자에 대한 투자를 확대하고 있으며, 배당금 지급 및 자사주 매입 등을 통해 주주 가치를 제고하고 있습니다. 결론적으로 금호석유화학은 우수한 재무 건전성을 바탕으로 외부 환경 변화에 대한 대응 능력을 확보하고 있으며, 지속적인 성장 동력을 확보하기 위한 투자 활동을 적극적으로 추진하고 있습니다.</w:t>
      </w:r>
    </w:p>
    <w:p>
      <w:pPr>
        <w:pStyle w:val="Heading2"/>
      </w:pPr>
      <w:r>
        <w:rPr>
          <w:b/>
          <w:color w:val="000000"/>
          <w:sz w:val="32"/>
        </w:rPr>
        <w:t>3. 사업모델 및 핵심 이슈</w:t>
      </w:r>
    </w:p>
    <w:p>
      <w:pPr>
        <w:pStyle w:val="Heading3"/>
      </w:pPr>
      <w:r>
        <w:rPr>
          <w:b/>
          <w:color w:val="3C3C3C"/>
          <w:sz w:val="26"/>
        </w:rPr>
        <w:t>3.1 [현황 1: 주력 사업의 경쟁력과 과제]</w:t>
      </w:r>
    </w:p>
    <w:p>
      <w:r>
        <w:t>금호석유화학의 주력 사업은 합성고무, 합성수지, 정밀화학, 페놀유도체, 에너지 등으로 구성되어 있으며, 특히 합성고무(NB라텍스, BR 등)와 합성수지(ABS, PS 등) 분야에서 상당한 시장 점유율을 확보하고 있습니다. NB라텍스의 경우, 위생용품 수요 증가와 함께 꾸준한 성장세를 보여왔으며, 이는 금호석유화학의 수익성 개선에 크게 기여했습니다.  하지만 중국을 비롯한 후발 주자들의 생산 능력 확대는 경쟁 강도를 심화시키는 요인으로 작용하고 있습니다. 범용 제품군에서는 가격 경쟁이 더욱 치열해질 것으로 예상되며, 고부가 제품 개발 및 차별화된 기술력 확보가 더욱 중요해지고 있습니다. 기술 격차 측면에서는 선두 기업으로서의 입지를 유지하기 위한 지속적인 R&amp;D 투자가 필수적입니다. 특히, 친환경 소재 개발과 생산 공정 효율성 증대를 위한 기술 혁신은 장기적인 경쟁 우위를 확보하는 데 결정적인 역할을 할 것입니다.  최근 NCC(나프타 분해 설비) 구조조정 움직임은 금호석유화학에게 긍정적인 영향을 미칠 것으로 보입니다. 공급 과잉 해소와 함께 제품 가격 상승을 기대할 수 있기 때문입니다.</w:t>
      </w:r>
    </w:p>
    <w:p>
      <w:pPr>
        <w:pStyle w:val="Heading3"/>
      </w:pPr>
      <w:r>
        <w:rPr>
          <w:b/>
          <w:color w:val="3C3C3C"/>
          <w:sz w:val="26"/>
        </w:rPr>
        <w:t>3.2 [현황 2: 신성장 동력의 진행 상황]</w:t>
      </w:r>
    </w:p>
    <w:p>
      <w:r>
        <w:t>금호석유화학은 미래 먹거리 확보를 위해 다양한 분야에서 신성장 동력을 모색하고 있습니다. 특히, 고부가 스페셜티 화학 소재, 친환경 소재, 에너지 소재 등의 분야에 대한 투자를 확대하고 있습니다. 구체적으로는 CNT(탄소나노튜브), 수소에너지 관련 소재, 바이오 플라스틱 등의 연구 개발에 집중하고 있으며, R&amp;D 확대를 통해 불황을 정면 돌파하겠다는 의지를 보이고 있습니다.  하지만 이러한 신사업들이 가시적인 성과를 내기까지는 시간이 필요할 것으로 예상됩니다. 대부분의 신소재 분야는 기술 개발 및 상업화에 상당한 투자와 시간이 요구되기 때문입니다. 그럼에도 불구하고, 금호석유화학은 꾸준한 투자를 통해 장기적인 성장 기반을 마련하고자 노력하고 있습니다.  구체적인 로드맵으로는 2030년까지 스페셜티 화학 소재 매출 비중을 전체 매출의 30%까지 끌어올리는 것을 목표로 하고 있으며, 이를 위해 M&amp;A, 합작 투자 등 다양한 방안을 고려하고 있습니다.  가시적인 성과 시점은 각 사업 분야별로 차이가 있겠지만, CNT 사업은 이미 일부 상업화에 성공하여 매출을 발생시키고 있으며, 수소에너지 소재 분야는 2027년 이후 본격적인 성장이 예상됩니다. 바이오 플라스틱 분야는 아직 연구 개발 단계에 머물러 있지만, 환경 규제 강화와 함께 성장 잠재력이 높은 분야로 평가받고 있습니다.</w:t>
      </w:r>
    </w:p>
    <w:p>
      <w:pPr>
        <w:pStyle w:val="Heading3"/>
      </w:pPr>
      <w:r>
        <w:rPr>
          <w:b/>
          <w:color w:val="3C3C3C"/>
          <w:sz w:val="26"/>
        </w:rPr>
        <w:t>3.3 [현황 3: 글로벌 공급망 및 지정학적 이슈]</w:t>
      </w:r>
    </w:p>
    <w:p>
      <w:r>
        <w:t>글로벌 공급망 불안정 및 지정학적 리스크는 금호석유화학에게도 큰 영향을 미치고 있습니다. 원자재 가격 변동성 확대, 물류 비용 상승, 특정 지역에 대한 의존도 심화 등 다양한 문제가 발생하고 있습니다. 특히, 주요 원자재인 나프타 가격 상승은 수익성 악화로 이어질 수 있으며, 지정학적 갈등 심화는 생산 및 판매 지역 다변화를 어렵게 만들 수 있습니다.  이러한 대외 환경 변화에 대응하기 위해 금호석유화학은 공급망 다변화, 재고 관리 강화, 생산 효율성 증대 등 다양한 노력을 기울이고 있습니다. 특정 국가에 대한 의존도를 낮추기 위해 새로운 공급처를 발굴하고, 안전 재고 확보를 통해 갑작스러운 공급 차질에 대비하고 있습니다. 또한, 스마트 팩토리 구축 등을 통해 생산 효율성을 높이고, 에너지 비용 절감을 위한 노력을 지속하고 있습니다.  하지만 지정학적 리스크는 기업의 노력만으로는 해결하기 어려운 측면이 있습니다. 정부 차원의 외교적 노력과 함께 기업 차원에서도 리스크 관리 시스템을 강화해야 할 필요가 있습니다. 구체적으로는 수출 보험 가입, 해외 투자 보험 가입 등을 통해 정치적 위험을 헤지하고, 비상시 생산 대체 시스템을 구축해야 합니다. 장기적으로는 생산 기지 다변화를 통해 특정 지역에 대한 의존도를 낮추려는 노력이 필요합니다.</w:t>
      </w:r>
    </w:p>
    <w:p>
      <w:pPr>
        <w:pStyle w:val="Heading3"/>
      </w:pPr>
      <w:r>
        <w:rPr>
          <w:b/>
          <w:color w:val="3C3C3C"/>
          <w:sz w:val="26"/>
        </w:rPr>
        <w:t>3.4 [현황 4: 조직 혁신 및 ESG 경영]</w:t>
      </w:r>
    </w:p>
    <w:p>
      <w:r>
        <w:t>금호석유화학은 지속 가능한 성장을 위해 조직 문화 혁신과 ESG 경영을 적극적으로 추진하고 있습니다. 수직적인 조직 문화를 개선하고, 수평적인 소통을 강화하여 창의적인 아이디어를 장려하고 있습니다. 또한, 인재 확보 및 육성을 위해 다양한 프로그램을 운영하고 있으며, 특히 젊은 인재들의 성장을 지원하기 위한 멘토링 제도, 해외 연수 기회 등을 제공하고 있습니다.  ESG 경영 측면에서는 탄소 배출량 감축, 친환경 제품 개발, 사회 공헌 활동 확대 등 다양한 노력을 기울이고 있습니다. 특히, 탄소 배출량 감축 목표를 설정하고, 이를 달성하기 위해 에너지 효율 향상, 신재생에너지 사용 확대 등을 추진하고 있습니다. 최근에는 여수 공장에서 지역 사회 중장년층을 위한 무료 의치 지원 사업을 진행하는 등 사회 공헌 활동에도 적극적으로 참여하고 있습니다.</w:t>
      </w:r>
    </w:p>
    <w:p>
      <w:r>
        <w:t>하지만 ESG 경영은 단순히 사회적 책임을 다하는 것을 넘어 기업의 경쟁력을 강화하는 중요한 요소로 작용하고 있습니다. 투자자들은 ESG 요소를 투자 결정에 반영하고 있으며, 소비자들은 친환경 제품을 선호하는 경향이 강해지고 있습니다. 따라서 금호석유화학은 ESG 경영을 통해 기업 이미지를 제고하고, 장기적인 성장 동력을 확보해야 합니다. 더욱 투명한 ESG 정보 공개, 이해관계자들과의 적극적인 소통 등을 통해 ESG 경영에 대한 신뢰도를 높여야 할 것입니다.</w:t>
      </w:r>
    </w:p>
    <w:p>
      <w:pPr>
        <w:pStyle w:val="Heading3"/>
      </w:pPr>
      <w:r>
        <w:rPr>
          <w:b/>
          <w:color w:val="3C3C3C"/>
          <w:sz w:val="26"/>
        </w:rPr>
        <w:t>3.5 결론: 사업 모델의 지속 가능성 평가</w:t>
      </w:r>
    </w:p>
    <w:p>
      <w:r>
        <w:t>금호석유화학의 사업 모델은 향후 10년간 지속 가능한 것으로 판단됩니다. 주력 사업의 안정적인 수익 기반, 신성장 동력 확보를 위한 노력, 공급망 관리 능력, ESG 경영 추진 등 긍정적인 요소들이 많습니다. 특히, NCC 구조조정과 LNG 사이클은 단기적으로 금호석유화학의 수익성 개선에 기여할 것으로 예상됩니다.</w:t>
      </w:r>
    </w:p>
    <w:p>
      <w:r>
        <w:t>하지만 경쟁 심화, 글로벌 공급망 불안정, 지정학적 리스크 등은 여전히 해결해야 할 과제입니다. 금호석유화학은 이러한 외부 환경 변화에 유연하게 대응하고, 지속적인 혁신을 통해 경쟁 우위를 확보해야 합니다. 특히, 고부가 스페셜티 화학 소재 개발, 친환경 소재 개발 등 미래 성장 동력 확보에 더욱 집중해야 할 것입니다. ESG 경영을 강화하고, 사회적 책임을 다하는 기업으로서의 이미지를 구축하는 것도 중요합니다. 장기적인 관점에서 지속적인 투자와 노력을 통해 금호석유화학은 향후 10년간 안정적인 성장세를 유지할 수 있을 것으로 기대됩니다.</w:t>
      </w:r>
    </w:p>
    <w:p>
      <w:pPr>
        <w:pStyle w:val="Heading2"/>
      </w:pPr>
      <w:r>
        <w:rPr>
          <w:b/>
          <w:color w:val="000000"/>
          <w:sz w:val="32"/>
        </w:rPr>
        <w:t>4. 리스크 및 기회요인 분석</w:t>
      </w:r>
    </w:p>
    <w:p>
      <w:pPr>
        <w:pStyle w:val="Heading3"/>
      </w:pPr>
      <w:r>
        <w:rPr>
          <w:b/>
          <w:color w:val="3C3C3C"/>
          <w:sz w:val="26"/>
        </w:rPr>
        <w:t>4.1 리스크 요인 (Risk Factors)</w:t>
      </w:r>
    </w:p>
    <w:p>
      <w:r>
        <w:t xml:space="preserve">*   </w:t>
      </w:r>
      <w:r>
        <w:rPr>
          <w:b/>
        </w:rPr>
        <w:t>[리스크 1]: 글로벌 경기 침체 및 수요 감소:</w:t>
      </w:r>
      <w:r>
        <w:t xml:space="preserve"> 세계 경제 성장 둔화는 석유화학 제품의 전반적인 수요 감소로 이어질 수 있으며, 이는 금호석유화학의 매출 및 수익성에 직접적인 타격을 줄 수 있습니다. 특히 건설, 자동차 등 전방 산업의 침체는 합성고무, 합성수지 등 금호석유화학 주요 제품의 수요 감소를 심화시킬 수 있습니다. 글로벌 경기 변동에 대한 지속적인 모니터링과 함께, 수요 감소에 대비한 생산량 조절 및 비용 절감 노력이 필요합니다.</w:t>
      </w:r>
    </w:p>
    <w:p>
      <w:r>
        <w:t xml:space="preserve">*   </w:t>
      </w:r>
      <w:r>
        <w:rPr>
          <w:b/>
        </w:rPr>
        <w:t>[리스크 2]: 원자재 가격 변동성 확대:</w:t>
      </w:r>
      <w:r>
        <w:t xml:space="preserve"> 나프타 등 원자재 가격의 급격한 변동은 금호석유화학의 수익성을 악화시키는 주요 요인입니다. 국제 유가 상승 및 지정학적 리스크 확대는 원자재 가격 변동성을 더욱 키울 수 있으며, 이는 원가 상승으로 이어져 수익 마진을 압박할 수 있습니다. 원자재 가격 변동에 대한 헤지 전략을 강화하고, 고부가 제품 개발을 통해 원가 경쟁력을 확보해야 합니다.</w:t>
      </w:r>
    </w:p>
    <w:p>
      <w:r>
        <w:t xml:space="preserve">*   </w:t>
      </w:r>
      <w:r>
        <w:rPr>
          <w:b/>
        </w:rPr>
        <w:t>[리스크 3]: 경쟁 심화 및 중국 자급률 상승:</w:t>
      </w:r>
      <w:r>
        <w:t xml:space="preserve"> 중국을 비롯한 신흥국의 석유화학 산업 성장과 자급률 상승은 경쟁 심화를 야기하며, 이는 금호석유화학의 시장 점유율 및 가격 결정력에 부정적인 영향을 미칠 수 있습니다. 특히 범용 제품 시장에서는 가격 경쟁이 더욱 심화될 수 있으며, 이는 수익성 악화로 이어질 수 있습니다. 고부가 스페셜티 제품 개발 및 해외 시장 다변화를 통해 경쟁력을 강화해야 합니다.</w:t>
      </w:r>
    </w:p>
    <w:p>
      <w:r>
        <w:t xml:space="preserve">*   </w:t>
      </w:r>
      <w:r>
        <w:rPr>
          <w:b/>
        </w:rPr>
        <w:t>[리스크 4]: 환경 규제 강화 및 탄소 배출 비용 증가:</w:t>
      </w:r>
      <w:r>
        <w:t xml:space="preserve"> 환경 규제 강화는 생산 설비 투자 비용 증가 및 운영 비용 상승을 초래하여 금호석유화학의 수익성에 부담을 줄 수 있습니다. 탄소 배출권 거래제 등 탄소 배출 비용 증가 또한 기업의 재무 부담을 가중시킬 수 있습니다. 친환경 기술 개발 및 설비 투자, 탄소 배출량 감축 노력을 통해 환경 규제에 적극적으로 대응해야 합니다.</w:t>
      </w:r>
    </w:p>
    <w:p>
      <w:r>
        <w:t xml:space="preserve">*   </w:t>
      </w:r>
      <w:r>
        <w:rPr>
          <w:b/>
        </w:rPr>
        <w:t>[리스크 5]: 금리 인상 및 자금 조달 비용 증가:</w:t>
      </w:r>
      <w:r>
        <w:t xml:space="preserve"> 금리 인상 기조는 금호석유화학의 차입금 이자 부담을 증가시키고, 신규 투자 자금 조달 비용을 상승시켜 재무 건전성에 부정적인 영향을 미칠 수 있습니다. 특히 대규모 설비 투자 계획을 추진 중인 상황에서 금리 인상은 더욱 큰 부담으로 작용할 수 있습니다. 선제적인 부채 관리 및 자금 조달 계획 수립을 통해 금리 변동에 대한 리스크를 최소화해야 합니다.</w:t>
      </w:r>
    </w:p>
    <w:p>
      <w:r>
        <w:t xml:space="preserve">*   </w:t>
      </w:r>
      <w:r>
        <w:rPr>
          <w:b/>
        </w:rPr>
        <w:t>[리스크 6]: 노동조합과의 관계 악화:</w:t>
      </w:r>
      <w:r>
        <w:t xml:space="preserve"> 지속적인 임금 및 단체 협상 과정에서 노사 갈등이 심화될 경우, 생산 차질 및 기업 이미지 손상으로 이어져 기업 가치 하락을 초래할 수 있습니다. 안정적인 노사 관계 구축은 생산 효율성 향상 및 기업 경쟁력 강화에 필수적인 요소입니다. 투명하고 합리적인 소통을 통해 노사 간의 신뢰를 구축하고, 상호 협력적인 관계를 유지해야 합니다.</w:t>
      </w:r>
    </w:p>
    <w:p>
      <w:r>
        <w:t xml:space="preserve">*   </w:t>
      </w:r>
      <w:r>
        <w:rPr>
          <w:b/>
        </w:rPr>
        <w:t>[리스크 7]: 화재, 폭발 등 안전사고 발생 가능성:</w:t>
      </w:r>
      <w:r>
        <w:t xml:space="preserve"> 석유화학 공장은 화재, 폭발 등 안전사고 발생 가능성이 상존하며, 이는 인명 피해 및 생산 중단으로 이어져 막대한 경제적 손실을 초래할 수 있습니다. 안전 관리 시스템 미비 및 작업자 부주의는 안전사고 발생 위험을 더욱 높일 수 있습니다. 철저한 안전 점검 및 교육, 안전 관리 시스템 강화를 통해 안전사고 예방에 만전을 기해야 합니다.</w:t>
      </w:r>
    </w:p>
    <w:p>
      <w:r>
        <w:t xml:space="preserve">*   </w:t>
      </w:r>
      <w:r>
        <w:rPr>
          <w:b/>
        </w:rPr>
        <w:t>[리스크 8]: 주요 고객사 의존도 심화:</w:t>
      </w:r>
      <w:r>
        <w:t xml:space="preserve"> 특정 고객사에 대한 매출 의존도가 높은 경우, 해당 고객사의 경영 환경 변화 또는 계약 조건 변경에 따라 금호석유화학의 수익성이 크게 영향을 받을 수 있습니다. 고객사 다변화를 통해 특정 고객사에 대한 의존도를 낮추고, 안정적인 매출 기반을 확보해야 합니다.</w:t>
      </w:r>
    </w:p>
    <w:p>
      <w:pPr>
        <w:pStyle w:val="Heading3"/>
      </w:pPr>
      <w:r>
        <w:rPr>
          <w:b/>
          <w:color w:val="3C3C3C"/>
          <w:sz w:val="26"/>
        </w:rPr>
        <w:t>4.2 기회 요인 (Opportunity Factors)</w:t>
      </w:r>
    </w:p>
    <w:p>
      <w:r>
        <w:t xml:space="preserve">*   </w:t>
      </w:r>
      <w:r>
        <w:rPr>
          <w:b/>
        </w:rPr>
        <w:t>[기회 1]: 친환경 소재 시장 확대:</w:t>
      </w:r>
      <w:r>
        <w:t xml:space="preserve"> 환경 규제 강화 및 소비자들의 친환경 제품 선호도 증가 추세에 따라 친환경 소재 시장이 빠르게 성장하고 있으며, 이는 금호석유화학에게 새로운 성장 동력을 제공할 수 있습니다. 생분해성 플라스틱, 재활용 소재 등 친환경 제품 개발 및 생산을 통해 시장 선점 효과를 누릴 수 있습니다.</w:t>
      </w:r>
    </w:p>
    <w:p>
      <w:r>
        <w:t xml:space="preserve">*   </w:t>
      </w:r>
      <w:r>
        <w:rPr>
          <w:b/>
        </w:rPr>
        <w:t>[기회 2]: 고부가 스페셜티 제품 수요 증가:</w:t>
      </w:r>
      <w:r>
        <w:t xml:space="preserve"> 자동차, 전자, 의료 등 다양한 산업 분야에서 고성능, 고기능성 스페셜티 화학 제품에 대한 수요가 증가하고 있으며, 이는 금호석유화학의 수익성 개선에 기여할 수 있습니다. NB라텍스, 고기능성 합성고무 등 고부가 제품 개발 및 판매 확대를 통해 수익성을 극대화해야 합니다.</w:t>
      </w:r>
    </w:p>
    <w:p>
      <w:r>
        <w:t xml:space="preserve">*   </w:t>
      </w:r>
      <w:r>
        <w:rPr>
          <w:b/>
        </w:rPr>
        <w:t>[기회 3]: ESG 경영 확산 및 투자 유치 기회 확대:</w:t>
      </w:r>
      <w:r>
        <w:t xml:space="preserve"> ESG 경영에 대한 사회적 요구가 증가하면서 ESG 경영을 적극적으로 추진하는 기업에 대한 투자 유치 기회가 확대되고 있습니다. ESG 경영 체계 구축 및 관련 정보 공개를 통해 투자자들의 신뢰를 얻고, 자금 조달 비용을 절감할 수 있습니다.</w:t>
      </w:r>
    </w:p>
    <w:p>
      <w:r>
        <w:t xml:space="preserve">*   </w:t>
      </w:r>
      <w:r>
        <w:rPr>
          <w:b/>
        </w:rPr>
        <w:t>[기회 4]: 글로벌 공급망 재편 수혜:</w:t>
      </w:r>
      <w:r>
        <w:t xml:space="preserve"> 미-중 무역 갈등 심화 및 러시아-우크라이나 전쟁 장기화 등으로 인해 글로벌 공급망이 재편되고 있으며, 이는 금호석유화학에게 새로운 시장 진출 기회를 제공할 수 있습니다. 안정적인 생산 능력과 품질 경쟁력을 바탕으로 글로벌 시장 점유율을 확대해야 합니다.</w:t>
      </w:r>
    </w:p>
    <w:p>
      <w:r>
        <w:t xml:space="preserve">*   </w:t>
      </w:r>
      <w:r>
        <w:rPr>
          <w:b/>
        </w:rPr>
        <w:t>[기회 5]: 설비 증설 및 생산 능력 확대:</w:t>
      </w:r>
      <w:r>
        <w:t xml:space="preserve"> 지속적인 설비 증설 및 생산 능력 확대는 금호석유화학의 매출 성장 및 수익성 개선에 기여할 수 있습니다. 특히 고부가 제품 생산 설비 증설은 수익성 향상에 더욱 큰 효과를 가져올 수 있습니다. 효율적인 설비 투자 및 운영을 통해 생산성을 극대화해야 합니다.</w:t>
      </w:r>
    </w:p>
    <w:p>
      <w:r>
        <w:t xml:space="preserve">*   </w:t>
      </w:r>
      <w:r>
        <w:rPr>
          <w:b/>
        </w:rPr>
        <w:t>[기회 6]: 인수합병 (M&amp;A) 통한 사업 확장:</w:t>
      </w:r>
      <w:r>
        <w:t xml:space="preserve"> 경쟁력 있는 기업 인수합병을 통해 사업 포트폴리오를 다각화하고, 새로운 성장 동력을 확보할 수 있습니다. 특히 친환경 소재, 스페셜티 화학 제품 등 미래 성장 가능성이 높은 분야의 기업 인수를 통해 장기적인 성장 기반을 마련해야 합니다.</w:t>
      </w:r>
    </w:p>
    <w:p>
      <w:r>
        <w:t xml:space="preserve">*   </w:t>
      </w:r>
      <w:r>
        <w:rPr>
          <w:b/>
        </w:rPr>
        <w:t>[기회 7]: 디지털 전환 (Digital Transformation) 통한 효율성 증대:</w:t>
      </w:r>
      <w:r>
        <w:t xml:space="preserve"> 디지털 기술 도입 및 활용을 통해 생산 효율성을 높이고, 비용을 절감할 수 있습니다. 스마트 팩토리 구축, AI 기반 생산 관리 시스템 도입 등 디지털 전환을 적극적으로 추진하여 기업 경쟁력을 강화해야 합니다.</w:t>
      </w:r>
    </w:p>
    <w:p>
      <w:r>
        <w:t xml:space="preserve">*   </w:t>
      </w:r>
      <w:r>
        <w:rPr>
          <w:b/>
        </w:rPr>
        <w:t>[기회 8]: 정부의 석유화학 산업 육성 정책 활용:</w:t>
      </w:r>
      <w:r>
        <w:t xml:space="preserve"> 정부의 석유화학 산업 육성 정책 및 지원 사업을 적극적으로 활용하여 신규 투자 및 연구 개발 활동을 촉진할 수 있습니다. 정책 자금 지원, 세제 혜택 등 정부 지원을 최대한 활용하여 사업 경쟁력을 강화해야 합니다.</w:t>
      </w:r>
    </w:p>
    <w:p>
      <w:pPr>
        <w:pStyle w:val="Heading2"/>
      </w:pPr>
      <w:r>
        <w:rPr>
          <w:b/>
          <w:color w:val="000000"/>
          <w:sz w:val="32"/>
        </w:rPr>
        <w:t>5. 최종 투자의견 및 모니터링 포인트</w:t>
      </w:r>
    </w:p>
    <w:p>
      <w:pPr>
        <w:pStyle w:val="Heading3"/>
      </w:pPr>
      <w:r>
        <w:rPr>
          <w:b/>
          <w:color w:val="3C3C3C"/>
          <w:sz w:val="26"/>
        </w:rPr>
        <w:t>5.1 최종 투자 의견</w:t>
      </w:r>
    </w:p>
    <w:p>
      <w:r/>
      <w:r>
        <w:rPr>
          <w:b/>
        </w:rPr>
        <w:t>[의견: 매수 (Buy)]</w:t>
      </w:r>
      <w:r/>
    </w:p>
    <w:p>
      <w:r>
        <w:t>금호석유화학은 견조한 기초체력을 바탕으로 지속적인 성장 잠재력을 보유한 기업입니다. 글로벌 경기 침체 우려에도 불구하고, 동사는 NB라텍스와 같은 고부가 스페셜티 제품 포트폴리오를 강화하며 수익성 방어에 성공하고 있습니다. 특히, 급성장하는 친환경 소재 시장에 대한 선제적인 투자와 기술 개발을 통해 미래 성장 동력을 확보하고 있다는 점은 긍정적으로 평가됩니다.</w:t>
      </w:r>
    </w:p>
    <w:p>
      <w:r>
        <w:t>또한, 금호석유화학은 안정적인 재무 구조를 바탕으로 적극적인 설비 투자 및 인수합병을 추진하며 사업 확장을 모색하고 있습니다. 특히, ESG 경영을 강화하고 탄소 배출량 감축 노력을 지속적으로 추진하고 있어, 장기적인 관점에서 지속가능한 성장이 가능할 것으로 판단됩니다.</w:t>
      </w:r>
    </w:p>
    <w:p>
      <w:r>
        <w:t>따라서, 현재 주가는 금호석유화학의 펀더멘털 및 성장 잠재력을 충분히 반영하지 못하고 있다고 판단되며, 향후 실적 개선 및 시장 환경 변화에 따라 주가 상승 여력이 충분하다고 예상됩니다. 적극적인 매수를 통해 장기적인 투자 수익을 기대할 수 있다고 판단됩니다. 금호석유화학의 굳건한 사업 포트폴리오와 미래 지향적인 투자 전략은 불확실한 시장 상황 속에서도 안정적인 수익을 창출하고 기업 가치를 지속적으로 높여나갈 것으로 확신합니다.</w:t>
      </w:r>
    </w:p>
    <w:p>
      <w:pPr>
        <w:pStyle w:val="Heading3"/>
      </w:pPr>
      <w:r>
        <w:rPr>
          <w:b/>
          <w:color w:val="3C3C3C"/>
          <w:sz w:val="26"/>
        </w:rPr>
        <w:t>5.2 모니터링 포인트</w:t>
      </w:r>
    </w:p>
    <w:p>
      <w:r>
        <w:t xml:space="preserve">*   </w:t>
      </w:r>
      <w:r>
        <w:rPr>
          <w:b/>
        </w:rPr>
        <w:t>[Point 1]: NB라텍스 스프레드 추이:</w:t>
      </w:r>
      <w:r>
        <w:t xml:space="preserve"> NB라텍스는 금호석유화학의 핵심 수익원으로서, 스프레드 변동은 실적에 직접적인 영향을 미칩니다.</w:t>
      </w:r>
    </w:p>
    <w:p>
      <w:r>
        <w:t xml:space="preserve">*   </w:t>
      </w:r>
      <w:r>
        <w:rPr>
          <w:b/>
        </w:rPr>
        <w:t>[Point 2]: 합성고무 수요 및 가격 변동:</w:t>
      </w:r>
      <w:r>
        <w:t xml:space="preserve"> 자동차 산업 등 전방 산업의 영향을 크게 받는 합성고무의 수요 및 가격 변동은 전체 매출에 중요한 지표입니다.</w:t>
      </w:r>
    </w:p>
    <w:p>
      <w:r>
        <w:t xml:space="preserve">*   </w:t>
      </w:r>
      <w:r>
        <w:rPr>
          <w:b/>
        </w:rPr>
        <w:t>[Point 3]: 원자재 (나프타) 가격 변동 추이:</w:t>
      </w:r>
      <w:r>
        <w:t xml:space="preserve"> 원가에 큰 영향을 미치는 나프타 가격 변동은 수익성에 중요한 영향을 미칩니다.</w:t>
      </w:r>
    </w:p>
    <w:p>
      <w:r>
        <w:t xml:space="preserve">*   </w:t>
      </w:r>
      <w:r>
        <w:rPr>
          <w:b/>
        </w:rPr>
        <w:t>[Point 4]: ESG 경영 관련 투자 및 성과:</w:t>
      </w:r>
      <w:r>
        <w:t xml:space="preserve"> ESG 경영 관련 투자 규모 및 성과는 기업 가치 및 투자 유치에 중요한 지표입니다.</w:t>
      </w:r>
    </w:p>
    <w:p>
      <w:r>
        <w:t xml:space="preserve">*   </w:t>
      </w:r>
      <w:r>
        <w:rPr>
          <w:b/>
        </w:rPr>
        <w:t>[Point 5]: 신규 설비 투자 진행 상황 및 생산량:</w:t>
      </w:r>
      <w:r>
        <w:t xml:space="preserve"> 설비 투자 진행 상황 및 생산량 증가는 매출 성장 가능성을 나타냅니다.</w:t>
      </w:r>
    </w:p>
    <w:p>
      <w:r>
        <w:t xml:space="preserve">*   </w:t>
      </w:r>
      <w:r>
        <w:rPr>
          <w:b/>
        </w:rPr>
        <w:t>[Point 6]: 경쟁사 동향 및 시장 점유율 변화:</w:t>
      </w:r>
      <w:r>
        <w:t xml:space="preserve"> 경쟁사 동향 및 시장 점유율 변화는 시장 경쟁력을 평가하는 중요한 지표입니다.</w:t>
      </w:r>
    </w:p>
    <w:p>
      <w:r>
        <w:t xml:space="preserve">*   </w:t>
      </w:r>
      <w:r>
        <w:rPr>
          <w:b/>
        </w:rPr>
        <w:t>[Point 7]: 정부 정책 변화 및 규제 동향:</w:t>
      </w:r>
      <w:r>
        <w:t xml:space="preserve"> 석유화학 산업 관련 정부 정책 변화 및 규제 동향은 사업 환경에 영향을 미칩니다.</w:t>
      </w:r>
    </w:p>
    <w:p>
      <w:r>
        <w:t xml:space="preserve">*   </w:t>
      </w:r>
      <w:r>
        <w:rPr>
          <w:b/>
        </w:rPr>
        <w:t>[Point 8]: 글로벌 경기 침체 가능성 및 영향:</w:t>
      </w:r>
      <w:r>
        <w:t xml:space="preserve"> 글로벌 경기 침체 가능성은 전반적인 석유화학 제품 수요에 영향을 미치므로 지속적인 모니터링이 필요합니다.</w:t>
      </w:r>
    </w:p>
    <w:p>
      <w:pPr>
        <w:pStyle w:val="Heading2"/>
      </w:pPr>
      <w:r>
        <w:rPr>
          <w:b/>
          <w:color w:val="000000"/>
          <w:sz w:val="32"/>
        </w:rPr>
        <w:t>6. 인터넷 뉴스 및 기사 인사이트</w:t>
      </w:r>
    </w:p>
    <w:p>
      <w:pPr>
        <w:pStyle w:val="ListBullet"/>
      </w:pPr>
      <w:r>
        <w:t>**[뉴스 1]: [특징주] 금호석유화학, 증권가 호평에 8%↑…PBR 0.5배 '저평가' 진단 - 이투데이 (Mon, 12 Jan 2026)**</w:t>
      </w:r>
    </w:p>
    <w:p>
      <w:r>
        <w:t xml:space="preserve">* </w:t>
      </w:r>
      <w:r>
        <w:rPr>
          <w:b/>
        </w:rPr>
        <w:t>상세 투자 인사이트:</w:t>
      </w:r>
      <w:r>
        <w:t xml:space="preserve"> 증권가의 긍정적 평가와 함께 금호석유화학의 주가가 상승했다는 내용입니다. PBR 0.5배는 자산 가치 대비 저평가 상태임을 시사하며, 향후 주가 상승 여력이 존재할 수 있습니다. 투자 결정 시, 기업의 펀더멘털 분석과 함께 시장 상황을 고려해야 합니다.</w:t>
      </w:r>
    </w:p>
    <w:p>
      <w:pPr>
        <w:pStyle w:val="ListBullet"/>
      </w:pPr>
      <w:r>
        <w:t>**[뉴스 2]: 금호석유화학,여수 중장년층 무료 의치지원 - 뉴시스 (Tue, 13 Jan 2026)**</w:t>
      </w:r>
    </w:p>
    <w:p>
      <w:r>
        <w:t xml:space="preserve">* </w:t>
      </w:r>
      <w:r>
        <w:rPr>
          <w:b/>
        </w:rPr>
        <w:t>상세 투자 인사이트:</w:t>
      </w:r>
      <w:r>
        <w:t xml:space="preserve"> 금호석유화학의 사회공헌 활동은 기업의 ESG 경영을 강화하고, 긍정적인 기업 이미지를 구축하는 데 기여합니다. 이는 장기적으로 기업 가치 상승에 긍정적인 영향을 미칠 수 있습니다.</w:t>
      </w:r>
    </w:p>
    <w:p>
      <w:pPr>
        <w:pStyle w:val="ListBullet"/>
      </w:pPr>
      <w:r>
        <w:t>**[뉴스 3]: '금호석유화학' 52주 신고가 경신, NCC 구조조정과 LNG 사이클의 수혜 - 하나증권, BUY - 네이트 (Tue, 13 Jan 2026)**</w:t>
      </w:r>
    </w:p>
    <w:p>
      <w:r>
        <w:t xml:space="preserve">* </w:t>
      </w:r>
      <w:r>
        <w:rPr>
          <w:b/>
        </w:rPr>
        <w:t>상세 투자 인사이트:</w:t>
      </w:r>
      <w:r>
        <w:t xml:space="preserve"> NCC(나프타 분해 설비) 구조조정과 LNG 사이클 호황은 금호석유화학의 수익성 개선에 긍정적인 요인으로 작용할 수 있습니다. 하나증권의 BUY 의견은 투자 심리를 자극하며, 주가 상승에 영향을 미칠 수 있습니다.</w:t>
      </w:r>
    </w:p>
    <w:p>
      <w:pPr>
        <w:pStyle w:val="ListBullet"/>
      </w:pPr>
      <w:r>
        <w:t>**[뉴스 4]: 석유화학 수술대 올랐는데… 금호석화만 웃는 이유 - IT조선 (Wed, 14 Jan 2026)**</w:t>
      </w:r>
    </w:p>
    <w:p>
      <w:r>
        <w:t xml:space="preserve">* </w:t>
      </w:r>
      <w:r>
        <w:rPr>
          <w:b/>
        </w:rPr>
        <w:t>상세 투자 인사이트:</w:t>
      </w:r>
      <w:r>
        <w:t xml:space="preserve"> 석유화학 업계 전반의 구조조정 상황에서 금호석유화학만이 차별화된 강점을 보여주고 있다는 내용입니다. 경쟁사 대비 우위 확보는 시장 점유율 확대 및 수익성 개선으로 이어질 수 있습니다.</w:t>
      </w:r>
    </w:p>
    <w:p>
      <w:pPr>
        <w:pStyle w:val="ListBullet"/>
      </w:pPr>
      <w:r>
        <w:t>**[뉴스 5]: 속도 내는 NCC 구조조정 … 대한유화·금호석유화학 수혜 기대 - 뉴데일리 경제 (Tue, 13 Jan 2026)**</w:t>
      </w:r>
    </w:p>
    <w:p>
      <w:r>
        <w:t xml:space="preserve">* </w:t>
      </w:r>
      <w:r>
        <w:rPr>
          <w:b/>
        </w:rPr>
        <w:t>상세 투자 인사이트:</w:t>
      </w:r>
      <w:r>
        <w:t xml:space="preserve"> NCC 구조조정 가속화는 공급 감소를 유발하여, 금호석유화학과 같은 경쟁력 있는 기업의 마진 개선에 기여할 수 있습니다. 투자자는 구조조정 진행 상황을 지속적으로 모니터링해야 합니다.</w:t>
      </w:r>
    </w:p>
    <w:p>
      <w:pPr>
        <w:pStyle w:val="ListBullet"/>
      </w:pPr>
      <w:r>
        <w:t>**[뉴스 6]: "금호석유화학, 4분기 부진에도 BD 역래깅 소멸로 실적 개선" [모닝 리포트] - 뉴스핌 (Tue, 13 Jan 2026)**</w:t>
      </w:r>
    </w:p>
    <w:p>
      <w:r>
        <w:t xml:space="preserve">* </w:t>
      </w:r>
      <w:r>
        <w:rPr>
          <w:b/>
        </w:rPr>
        <w:t>상세 투자 인사이트:</w:t>
      </w:r>
      <w:r>
        <w:t xml:space="preserve"> BD(부타디엔) 역래깅 현상 해소는 원가 부담 감소로 이어져, 금호석유화학의 실적 개선에 긍정적인 영향을 미칠 수 있습니다. 4분기 실적 부진에도 불구하고 향후 실적 개선 가능성이 높다는 점은 투자 매력도를 높이는 요인입니다.</w:t>
      </w:r>
    </w:p>
    <w:p>
      <w:pPr>
        <w:pStyle w:val="ListBullet"/>
      </w:pPr>
      <w:r>
        <w:t>**[뉴스 7]: 금호석유화학 8% 급등…NCC 구조조정·LNG 사이클 수혜 기대[특징주] - edaily.co.kr (Mon, 12 Jan 2026)**</w:t>
      </w:r>
    </w:p>
    <w:p>
      <w:r>
        <w:t xml:space="preserve">* </w:t>
      </w:r>
      <w:r>
        <w:rPr>
          <w:b/>
        </w:rPr>
        <w:t>상세 투자 인사이트:</w:t>
      </w:r>
      <w:r>
        <w:t xml:space="preserve"> NCC 구조조정과 LNG 사이클 수혜 기대감은 주가 급등의 직접적인 원인으로 작용합니다. 투자자는 관련 산업 동향을 주시하며, 금호석유화학의 실질적인 수혜 정도를 파악해야 합니다.</w:t>
      </w:r>
    </w:p>
    <w:p>
      <w:pPr>
        <w:pStyle w:val="ListBullet"/>
      </w:pPr>
      <w:r>
        <w:t>**[뉴스 8]: 금호석유화학 여수공장, 중장년층 의치 치료비 지원 - 뉴스1 (Tue, 13 Jan 2026)**</w:t>
      </w:r>
    </w:p>
    <w:p>
      <w:r>
        <w:t xml:space="preserve">* </w:t>
      </w:r>
      <w:r>
        <w:rPr>
          <w:b/>
        </w:rPr>
        <w:t>상세 투자 인사이트:</w:t>
      </w:r>
      <w:r>
        <w:t xml:space="preserve"> 여수공장의 사회공헌 활동은 지역사회와의 긍정적인 관계 형성에 기여하며, 장기적으로 기업 운영에 우호적인 환경을 조성할 수 있습니다.</w:t>
      </w:r>
    </w:p>
    <w:p>
      <w:pPr>
        <w:pStyle w:val="ListBullet"/>
      </w:pPr>
      <w:r>
        <w:t>**[뉴스 9]: 라텍스 수요 증가 가시화…금호석유화학, 수익성 개선 전망 - 데이터뉴스 (Tue, 13 Jan 2026)**</w:t>
      </w:r>
    </w:p>
    <w:p>
      <w:r>
        <w:t xml:space="preserve">* </w:t>
      </w:r>
      <w:r>
        <w:rPr>
          <w:b/>
        </w:rPr>
        <w:t>상세 투자 인사이트:</w:t>
      </w:r>
      <w:r>
        <w:t xml:space="preserve"> 라텍스 수요 증가 전망은 금호석유화학의 주력 제품 중 하나인 NB라텍스의 판매 증가로 이어져, 수익성 개선에 직접적인 영향을 미칠 수 있습니다. 시장 수요 변화를 지속적으로 관찰해야 합니다.</w:t>
      </w:r>
    </w:p>
    <w:p>
      <w:pPr>
        <w:pStyle w:val="ListBullet"/>
      </w:pPr>
      <w:r>
        <w:t>**[뉴스 10]: 신영증권 "금호석유화학, 4분기 부진 뒤 1분기 반등…‘매수’ 유지" - 한국면세뉴스 (Wed, 14 Jan 2026)**</w:t>
      </w:r>
    </w:p>
    <w:p>
      <w:r>
        <w:t xml:space="preserve">* </w:t>
      </w:r>
      <w:r>
        <w:rPr>
          <w:b/>
        </w:rPr>
        <w:t>상세 투자 인사이트:</w:t>
      </w:r>
      <w:r>
        <w:t xml:space="preserve"> 신영증권의 매수 의견 유지는 투자 심리를 안정시키고, 추가적인 주가 하락을 방어하는 역할을 할 수 있습니다. 4분기 부진에도 불구하고 1분기 반등을 예상하는 점은 긍정적인 신호입니다.</w:t>
      </w:r>
    </w:p>
    <w:p>
      <w:pPr>
        <w:pStyle w:val="ListBullet"/>
      </w:pPr>
      <w:r>
        <w:t>**[뉴스 11]: 금호석유화학, NCC 구조조정 본격화…LNG 사이클까지 겹친다 - 프라임경제 (Sun, 11 Jan 2026)**</w:t>
      </w:r>
    </w:p>
    <w:p>
      <w:r>
        <w:t xml:space="preserve">* </w:t>
      </w:r>
      <w:r>
        <w:rPr>
          <w:b/>
        </w:rPr>
        <w:t>상세 투자 인사이트:</w:t>
      </w:r>
      <w:r>
        <w:t xml:space="preserve"> NCC 구조조정 본격화와 LNG 사이클이라는 복합적인 호재는 금호석유화학의 수익성을 크게 개선할 수 있습니다. 두 가지 요인이 시너지 효과를 낼 수 있는지 분석해야 합니다.</w:t>
      </w:r>
    </w:p>
    <w:p>
      <w:pPr>
        <w:pStyle w:val="ListBullet"/>
      </w:pPr>
      <w:r>
        <w:t>**[뉴스 12]: 박찬구 금호석유화학그룹 회장 "석화업계 위기 무거워···현실 직시하고 생존·지속성장 방안 실행해야" - 트래블데일리 (Tue, 13 Jan 2026)**</w:t>
      </w:r>
    </w:p>
    <w:p>
      <w:r>
        <w:t xml:space="preserve">* </w:t>
      </w:r>
      <w:r>
        <w:rPr>
          <w:b/>
        </w:rPr>
        <w:t>상세 투자 인사이트:</w:t>
      </w:r>
      <w:r>
        <w:t xml:space="preserve"> CEO의 위기 인식과 생존 및 지속 성장 방안 모색은 긍정적인 신호입니다. 변화하는 시장 환경에 대한 적극적인 대응 의지를 보여주는 것으로 해석될 수 있습니다. 구체적인 실행 방안을 주시해야 합니다.</w:t>
      </w:r>
    </w:p>
    <w:p>
      <w:pPr>
        <w:pStyle w:val="ListBullet"/>
      </w:pPr>
      <w:r>
        <w:t>**[뉴스 13]: 금호석유화학, 이유있는 52주 신고가···NCC 반사이익·NB라텍스 회복 기대감↑ - 동양뉴스 (Tue, 13 Jan 2026)**</w:t>
      </w:r>
    </w:p>
    <w:p>
      <w:r>
        <w:t xml:space="preserve">* </w:t>
      </w:r>
      <w:r>
        <w:rPr>
          <w:b/>
        </w:rPr>
        <w:t>상세 투자 인사이트:</w:t>
      </w:r>
      <w:r>
        <w:t xml:space="preserve"> NCC 반사이익과 NB라텍스 회복 기대감은 52주 신고가 경신의 주요 요인입니다. 이러한 기대감이 실질적인 실적 개선으로 이어지는지 확인해야 합니다.</w:t>
      </w:r>
    </w:p>
    <w:p>
      <w:pPr>
        <w:pStyle w:val="ListBullet"/>
      </w:pPr>
      <w:r>
        <w:t>**[뉴스 14]: 금호석유화학그룹, R&amp;D 확대로 불황 '정면돌파' - MSN (Sat, 10 Jan 2026)**</w:t>
      </w:r>
    </w:p>
    <w:p>
      <w:r>
        <w:t xml:space="preserve">* </w:t>
      </w:r>
      <w:r>
        <w:rPr>
          <w:b/>
        </w:rPr>
        <w:t>상세 투자 인사이트:</w:t>
      </w:r>
      <w:r>
        <w:t xml:space="preserve"> R&amp;D 투자 확대는 장기적인 성장 동력 확보를 위한 전략입니다. 불황기에 R&amp;D 투자를 늘리는 것은 미래 경쟁력 강화에 도움이 될 수 있습니다. R&amp;D 투자 성과를 지속적으로 모니터링해야 합니다.</w:t>
      </w:r>
    </w:p>
    <w:p>
      <w:pPr>
        <w:pStyle w:val="ListBullet"/>
      </w:pPr>
      <w:r>
        <w:t>**[뉴스 15]: "ESG 경영 진심"...금호석유화학그룹, 탄소배출 확 낮춘다 - 더트래커 (Fri, 09 Jan 2026)**</w:t>
      </w:r>
    </w:p>
    <w:p>
      <w:r>
        <w:t xml:space="preserve">* </w:t>
      </w:r>
      <w:r>
        <w:rPr>
          <w:b/>
        </w:rPr>
        <w:t>상세 투자 인사이트:</w:t>
      </w:r>
      <w:r>
        <w:t xml:space="preserve"> 탄소 배출량 감축 노력은 ESG 경영을 강화하고, 환경 규제 강화에 대한 선제적인 대응을 가능하게 합니다. 이는 장기적인 기업 가치 상승에 기여할 수 있습니다.</w:t>
      </w:r>
    </w:p>
    <w:p>
      <w:pPr>
        <w:pStyle w:val="ListBullet"/>
      </w:pPr>
      <w:r>
        <w:t>**[뉴스 16]: 금호석유화학, +1.62% 52주 신고가 - 조선비즈 - Chosunbiz (Tue, 13 Jan 2026)**</w:t>
      </w:r>
    </w:p>
    <w:p>
      <w:r>
        <w:t xml:space="preserve">* </w:t>
      </w:r>
      <w:r>
        <w:rPr>
          <w:b/>
        </w:rPr>
        <w:t>상세 투자 인사이트:</w:t>
      </w:r>
      <w:r>
        <w:t xml:space="preserve"> 52주 신고가 경신은 시장의 긍정적인 평가를 반영합니다. 투자 심리 개선에 영향을 미치며, 추가적인 주가 상승 가능성을 시사합니다. 다만, 과도한 투자 심리 과열은 경계해야 합니다.</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