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롯데손해보험 (000400)</w:t>
      </w:r>
    </w:p>
    <w:p>
      <w:pPr>
        <w:pStyle w:val="Heading2"/>
      </w:pPr>
      <w:r>
        <w:rPr>
          <w:b/>
          <w:color w:val="000000"/>
          <w:sz w:val="32"/>
        </w:rPr>
        <w:t>1. 투자 요약 (Executive Summary)**</w:t>
      </w:r>
    </w:p>
    <w:p>
      <w:r>
        <w:t>롯데손해보험(000400)은 국내 손해보험 시장에서 경쟁력을 확보하고 있으나, 변동성이 큰 시장 환경과 높은 부채비율은 투자에 있어 신중한 접근을 요구합니다. 2023년에는 IFRS17 도입 효과로 인한 기저 효과로 영업이익과 순이익이 급증했지만, 2024년에는 다시 정상화되는 모습을 보였습니다. 시장 기회는 고령화 사회 진입에 따른 건강보험 수요 증가, 디지털 전환 가속화에 따른 혁신적인 보험 상품 개발 가능성, 그리고 해외 시장 진출을 통한 성장 잠재력 등이 있습니다. 주요 리스크로는 금리 변동성, 경쟁 심화, 규제 강화, 그리고 높은 부채비율로 인한 재무적 부담 등이 있습니다. 투자 포인트는 장기적인 관점에서 안정적인 수익 창출 능력, 디지털 전환을 통한 효율성 증대, 그리고 M&amp;A 가능성을 고려할 수 있습니다. 결론적으로, 롯데손해보험 투자는 시장 상황에 대한 지속적인 모니터링과 리스크 관리가 필수적이며, 장기적인 관점에서 성장 가능성을 평가해야 합니다. 특히, 2024년의 재무 지표 정상화는 2023년의 높은 실적이 일시적인 현상이었음을 시사하며, 보다 보수적인 투자 전략이 필요합니다. 또한, 향후 금리 변동 및 경쟁 심화에 대한 대비책 마련 여부가 투자 결정에 중요한 영향을 미칠 것입니다.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매출액</w:t>
            </w:r>
          </w:p>
        </w:tc>
        <w:tc>
          <w:tcPr>
            <w:tcW w:type="dxa" w:w="2257"/>
          </w:tcPr>
          <w:p>
            <w:r>
              <w:t>3,744.4억</w:t>
            </w:r>
          </w:p>
        </w:tc>
        <w:tc>
          <w:tcPr>
            <w:tcW w:type="dxa" w:w="2257"/>
          </w:tcPr>
          <w:p>
            <w:r>
              <w:t>3,425.4억</w:t>
            </w:r>
          </w:p>
        </w:tc>
        <w:tc>
          <w:tcPr>
            <w:tcW w:type="dxa" w:w="2257"/>
          </w:tcPr>
          <w:p>
            <w:r>
              <w:t>-</w:t>
            </w:r>
          </w:p>
        </w:tc>
      </w:tr>
      <w:tr>
        <w:tc>
          <w:tcPr>
            <w:tcW w:type="dxa" w:w="2257"/>
          </w:tcPr>
          <w:p>
            <w:r>
              <w:t>영업이익</w:t>
            </w:r>
          </w:p>
        </w:tc>
        <w:tc>
          <w:tcPr>
            <w:tcW w:type="dxa" w:w="2257"/>
          </w:tcPr>
          <w:p>
            <w:r>
              <w:t>310.6억</w:t>
            </w:r>
          </w:p>
        </w:tc>
        <w:tc>
          <w:tcPr>
            <w:tcW w:type="dxa" w:w="2257"/>
          </w:tcPr>
          <w:p>
            <w:r>
              <w:t>3,962.9억</w:t>
            </w:r>
          </w:p>
        </w:tc>
        <w:tc>
          <w:tcPr>
            <w:tcW w:type="dxa" w:w="2257"/>
          </w:tcPr>
          <w:p>
            <w:r>
              <w:t>-</w:t>
            </w:r>
          </w:p>
        </w:tc>
      </w:tr>
      <w:tr>
        <w:tc>
          <w:tcPr>
            <w:tcW w:type="dxa" w:w="2257"/>
          </w:tcPr>
          <w:p>
            <w:r>
              <w:t>순이익</w:t>
            </w:r>
          </w:p>
        </w:tc>
        <w:tc>
          <w:tcPr>
            <w:tcW w:type="dxa" w:w="2257"/>
          </w:tcPr>
          <w:p>
            <w:r>
              <w:t>333.3억</w:t>
            </w:r>
          </w:p>
        </w:tc>
        <w:tc>
          <w:tcPr>
            <w:tcW w:type="dxa" w:w="2257"/>
          </w:tcPr>
          <w:p>
            <w:r>
              <w:t>3,943.4억</w:t>
            </w:r>
          </w:p>
        </w:tc>
        <w:tc>
          <w:tcPr>
            <w:tcW w:type="dxa" w:w="2257"/>
          </w:tcPr>
          <w:p>
            <w:r>
              <w:t>-</w:t>
            </w:r>
          </w:p>
        </w:tc>
      </w:tr>
      <w:tr>
        <w:tc>
          <w:tcPr>
            <w:tcW w:type="dxa" w:w="2257"/>
          </w:tcPr>
          <w:p>
            <w:r>
              <w:t>자산총계</w:t>
            </w:r>
          </w:p>
        </w:tc>
        <w:tc>
          <w:tcPr>
            <w:tcW w:type="dxa" w:w="2257"/>
          </w:tcPr>
          <w:p>
            <w:r>
              <w:t>155,414.8억</w:t>
            </w:r>
          </w:p>
        </w:tc>
        <w:tc>
          <w:tcPr>
            <w:tcW w:type="dxa" w:w="2257"/>
          </w:tcPr>
          <w:p>
            <w:r>
              <w:t>148,429.8억</w:t>
            </w:r>
          </w:p>
        </w:tc>
        <w:tc>
          <w:tcPr>
            <w:tcW w:type="dxa" w:w="2257"/>
          </w:tcPr>
          <w:p>
            <w:r>
              <w:t>-</w:t>
            </w:r>
          </w:p>
        </w:tc>
      </w:tr>
      <w:tr>
        <w:tc>
          <w:tcPr>
            <w:tcW w:type="dxa" w:w="2257"/>
          </w:tcPr>
          <w:p>
            <w:r>
              <w:t>자본총계</w:t>
            </w:r>
          </w:p>
        </w:tc>
        <w:tc>
          <w:tcPr>
            <w:tcW w:type="dxa" w:w="2257"/>
          </w:tcPr>
          <w:p>
            <w:r>
              <w:t>7,942.4억</w:t>
            </w:r>
          </w:p>
        </w:tc>
        <w:tc>
          <w:tcPr>
            <w:tcW w:type="dxa" w:w="2257"/>
          </w:tcPr>
          <w:p>
            <w:r>
              <w:t>12,562.3억</w:t>
            </w:r>
          </w:p>
        </w:tc>
        <w:tc>
          <w:tcPr>
            <w:tcW w:type="dxa" w:w="2257"/>
          </w:tcPr>
          <w:p>
            <w:r>
              <w:t>-</w:t>
            </w:r>
          </w:p>
        </w:tc>
      </w:tr>
    </w:tbl>
    <w:p>
      <w:pPr>
        <w:pStyle w:val="Heading3"/>
      </w:pPr>
      <w:r>
        <w:rPr>
          <w:b/>
          <w:color w:val="3C3C3C"/>
          <w:sz w:val="26"/>
        </w:rPr>
        <w:t>2.2 주요 재무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영업이익률</w:t>
            </w:r>
          </w:p>
        </w:tc>
        <w:tc>
          <w:tcPr>
            <w:tcW w:type="dxa" w:w="2257"/>
          </w:tcPr>
          <w:p>
            <w:r>
              <w:t>8.3%</w:t>
            </w:r>
          </w:p>
        </w:tc>
        <w:tc>
          <w:tcPr>
            <w:tcW w:type="dxa" w:w="2257"/>
          </w:tcPr>
          <w:p>
            <w:r>
              <w:t>115.7%</w:t>
            </w:r>
          </w:p>
        </w:tc>
        <w:tc>
          <w:tcPr>
            <w:tcW w:type="dxa" w:w="2257"/>
          </w:tcPr>
          <w:p>
            <w:r>
              <w:t>-</w:t>
            </w:r>
          </w:p>
        </w:tc>
      </w:tr>
      <w:tr>
        <w:tc>
          <w:tcPr>
            <w:tcW w:type="dxa" w:w="2257"/>
          </w:tcPr>
          <w:p>
            <w:r>
              <w:t>ROE</w:t>
            </w:r>
          </w:p>
        </w:tc>
        <w:tc>
          <w:tcPr>
            <w:tcW w:type="dxa" w:w="2257"/>
          </w:tcPr>
          <w:p>
            <w:r>
              <w:t>4.2%</w:t>
            </w:r>
          </w:p>
        </w:tc>
        <w:tc>
          <w:tcPr>
            <w:tcW w:type="dxa" w:w="2257"/>
          </w:tcPr>
          <w:p>
            <w:r>
              <w:t>31.4%</w:t>
            </w:r>
          </w:p>
        </w:tc>
        <w:tc>
          <w:tcPr>
            <w:tcW w:type="dxa" w:w="2257"/>
          </w:tcPr>
          <w:p>
            <w:r>
              <w:t>-</w:t>
            </w:r>
          </w:p>
        </w:tc>
      </w:tr>
      <w:tr>
        <w:tc>
          <w:tcPr>
            <w:tcW w:type="dxa" w:w="2257"/>
          </w:tcPr>
          <w:p>
            <w:r>
              <w:t>부채비율</w:t>
            </w:r>
          </w:p>
        </w:tc>
        <w:tc>
          <w:tcPr>
            <w:tcW w:type="dxa" w:w="2257"/>
          </w:tcPr>
          <w:p>
            <w:r>
              <w:t>1856.8%</w:t>
            </w:r>
          </w:p>
        </w:tc>
        <w:tc>
          <w:tcPr>
            <w:tcW w:type="dxa" w:w="2257"/>
          </w:tcPr>
          <w:p>
            <w:r>
              <w:t>1081.5%</w:t>
            </w:r>
          </w:p>
        </w:tc>
        <w:tc>
          <w:tcPr>
            <w:tcW w:type="dxa" w:w="2257"/>
          </w:tcPr>
          <w:p>
            <w:r>
              <w:t>-</w:t>
            </w:r>
          </w:p>
        </w:tc>
      </w:tr>
    </w:tbl>
    <w:p>
      <w:pPr>
        <w:pStyle w:val="Heading3"/>
      </w:pPr>
      <w:r>
        <w:rPr>
          <w:b/>
          <w:color w:val="3C3C3C"/>
          <w:sz w:val="26"/>
        </w:rPr>
        <w:t>2.3 재무 분석**</w:t>
      </w:r>
    </w:p>
    <w:p>
      <w:r>
        <w:t>롯데손해보험의 재무제표를 살펴보면, 2023년 IFRS17 도입에 따른 효과가 2024년에 소멸되면서 영업이익과 순이익이 크게 감소했습니다. 2023년의 비정상적으로 높은 수익성은 회계 기준 변경에 따른 일시적인 현상이었으며, 2024년 실적은 과거 수준으로 회귀한 것으로 판단됩니다. 자산총계는 소폭 증가했지만, 자본총계는 감소하여 부채비율이 급격히 상승했습니다. 이는 재무 건전성이 악화되었음을 시사하며, 향후 금리 인상 시 이자 부담이 더욱 커질 수 있다는 우려를 낳습니다. 매출액은 소폭 증가했지만, 이익률 하락으로 인해 전반적인 수익성은 저하되었습니다. 특히, 높은 부채비율은 롯데손해보험의 재무적 안정성을 위협하는 요인으로 작용할 수 있으며, 향후 자금 조달 및 투자 결정에 제약을 가져올 수 있습니다. 따라서, 롯데손해보험은 부채 감축 및 자본 확충을 통해 재무 건전성을 개선하는 데 집중해야 할 것입니다.</w:t>
      </w:r>
    </w:p>
    <w:p>
      <w:pPr>
        <w:pStyle w:val="Heading3"/>
      </w:pPr>
      <w:r>
        <w:rPr>
          <w:b/>
          <w:color w:val="3C3C3C"/>
          <w:sz w:val="26"/>
        </w:rPr>
        <w:t>2.4 매출 및 이익 성장**</w:t>
      </w:r>
    </w:p>
    <w:p>
      <w:r>
        <w:t>롯데손해보험의 매출 성장은 주로 자동차보험, 장기보험, 일반보험 등 다양한 보험 상품 포트폴리오에 기인합니다. 그러나, 경쟁 심화로 인해 보험료 인상이 제한적이며, 이는 매출 성장에 제약 요인으로 작용합니다. 또한, 언택트 시대에 맞춰 디지털 채널을 강화하고 있지만, 아직까지는 전통적인 영업 채널에 대한 의존도가 높은 상황입니다. 이익 성장은 보험금 지급액 관리, 사업비 절감 등 효율성 개선 노력에 따라 변동성이 크게 나타납니다. 장기적으로는 고령화 사회 진입에 따른 건강보험 수요 증가가 긍정적인 영향을 미칠 것으로 예상되지만, 경쟁 심화와 규제 강화는 지속적인 도전 과제로 남아있습니다. 디지털 전환을 통해 새로운 성장 동력을 확보하고, 해외 시장 진출을 모색하는 등 적극적인 전략 수립이 필요합니다.</w:t>
      </w:r>
    </w:p>
    <w:p>
      <w:pPr>
        <w:pStyle w:val="Heading3"/>
      </w:pPr>
      <w:r>
        <w:rPr>
          <w:b/>
          <w:color w:val="3C3C3C"/>
          <w:sz w:val="26"/>
        </w:rPr>
        <w:t>2.5 수익성/효율성 분석**</w:t>
      </w:r>
    </w:p>
    <w:p>
      <w:r>
        <w:t>롯데손해보험의 영업이익률은 2023년 IFRS17 효과로 인해 일시적으로 높게 나타났지만, 2024년에는 다시 정상 수준으로 회귀했습니다. 이는 보험영업이익 개선과 투자영업이익 증가에 따라 변동성이 크게 나타나며, 꾸준한 수익성 개선 노력이 필요합니다. 비용 구조를 살펴보면, 보험금 지급액과 사업비가 주요 비중을 차지하고 있으며, 효율적인 비용 관리가 수익성 개선의 핵심 요소입니다. 디지털 전환을 통해 언더라이팅 및 보험금 지급 심사 프로세스를 자동화하고, 불필요한 사업비를 절감하는 등 운영 효율성을 높이는 방안을 모색해야 합니다. 또한, 고객 데이터 분석을 통해 맞춤형 상품을 개발하고, 마케팅 효율성을 높이는 등 수익성 개선을 위한 노력이 필요합니다.</w:t>
      </w:r>
    </w:p>
    <w:p>
      <w:pPr>
        <w:pStyle w:val="Heading3"/>
      </w:pPr>
      <w:r>
        <w:rPr>
          <w:b/>
          <w:color w:val="3C3C3C"/>
          <w:sz w:val="26"/>
        </w:rPr>
        <w:t>2.6 재무 건전성**</w:t>
      </w:r>
    </w:p>
    <w:p>
      <w:r>
        <w:t>롯데손해보험의 부채비율은 매우 높은 수준이며, 이는 재무 건전성을 위협하는 가장 큰 요인입니다. 높은 부채비율은 금리 인상 시 이자 부담을 가중시키고, 자금 조달 비용을 증가시키는 등 재무적 위험을 확대시킵니다. 현금흐름은 영업활동 현금흐름이 안정적으로 유지되고 있지만, 투자활동 및 재무활동 현금흐름은 변동성이 큰 편입니다. 유동성 측면에서는 단기적인 지급 능력은 양호하지만, 장기적인 관점에서는 높은 부채비율로 인해 유동성 위험이 존재합니다. 따라서, 롯데손해보험은 부채 감축 및 자본 확충을 통해 재무 건전성을 개선하고, 안정적인 현금흐름을 확보하는 데 집중해야 합니다. 또한, 금리 변동에 대비하여 리스크 관리 시스템을 강화하고, 유동성 위기에 대한 대비책을 마련해야 합니다.</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매출액</w:t>
            </w:r>
          </w:p>
        </w:tc>
        <w:tc>
          <w:tcPr>
            <w:tcW w:type="dxa" w:w="2257"/>
          </w:tcPr>
          <w:p>
            <w:r>
              <w:t>3,744.4억</w:t>
            </w:r>
          </w:p>
        </w:tc>
        <w:tc>
          <w:tcPr>
            <w:tcW w:type="dxa" w:w="2257"/>
          </w:tcPr>
          <w:p>
            <w:r>
              <w:t>3,425.4억</w:t>
            </w:r>
          </w:p>
        </w:tc>
        <w:tc>
          <w:tcPr>
            <w:tcW w:type="dxa" w:w="2257"/>
          </w:tcPr>
          <w:p>
            <w:r>
              <w:t>-</w:t>
            </w:r>
          </w:p>
        </w:tc>
      </w:tr>
      <w:tr>
        <w:tc>
          <w:tcPr>
            <w:tcW w:type="dxa" w:w="2257"/>
          </w:tcPr>
          <w:p>
            <w:r>
              <w:t>영업이익</w:t>
            </w:r>
          </w:p>
        </w:tc>
        <w:tc>
          <w:tcPr>
            <w:tcW w:type="dxa" w:w="2257"/>
          </w:tcPr>
          <w:p>
            <w:r>
              <w:t>310.6억</w:t>
            </w:r>
          </w:p>
        </w:tc>
        <w:tc>
          <w:tcPr>
            <w:tcW w:type="dxa" w:w="2257"/>
          </w:tcPr>
          <w:p>
            <w:r>
              <w:t>3,962.9억</w:t>
            </w:r>
          </w:p>
        </w:tc>
        <w:tc>
          <w:tcPr>
            <w:tcW w:type="dxa" w:w="2257"/>
          </w:tcPr>
          <w:p>
            <w:r>
              <w:t>-</w:t>
            </w:r>
          </w:p>
        </w:tc>
      </w:tr>
      <w:tr>
        <w:tc>
          <w:tcPr>
            <w:tcW w:type="dxa" w:w="2257"/>
          </w:tcPr>
          <w:p>
            <w:r>
              <w:t>순이익</w:t>
            </w:r>
          </w:p>
        </w:tc>
        <w:tc>
          <w:tcPr>
            <w:tcW w:type="dxa" w:w="2257"/>
          </w:tcPr>
          <w:p>
            <w:r>
              <w:t>333.3억</w:t>
            </w:r>
          </w:p>
        </w:tc>
        <w:tc>
          <w:tcPr>
            <w:tcW w:type="dxa" w:w="2257"/>
          </w:tcPr>
          <w:p>
            <w:r>
              <w:t>3,943.4억</w:t>
            </w:r>
          </w:p>
        </w:tc>
        <w:tc>
          <w:tcPr>
            <w:tcW w:type="dxa" w:w="2257"/>
          </w:tcPr>
          <w:p>
            <w:r>
              <w:t>-</w:t>
            </w:r>
          </w:p>
        </w:tc>
      </w:tr>
      <w:tr>
        <w:tc>
          <w:tcPr>
            <w:tcW w:type="dxa" w:w="2257"/>
          </w:tcPr>
          <w:p>
            <w:r>
              <w:t>자산총계</w:t>
            </w:r>
          </w:p>
        </w:tc>
        <w:tc>
          <w:tcPr>
            <w:tcW w:type="dxa" w:w="2257"/>
          </w:tcPr>
          <w:p>
            <w:r>
              <w:t>155,414.8억</w:t>
            </w:r>
          </w:p>
        </w:tc>
        <w:tc>
          <w:tcPr>
            <w:tcW w:type="dxa" w:w="2257"/>
          </w:tcPr>
          <w:p>
            <w:r>
              <w:t>148,429.8억</w:t>
            </w:r>
          </w:p>
        </w:tc>
        <w:tc>
          <w:tcPr>
            <w:tcW w:type="dxa" w:w="2257"/>
          </w:tcPr>
          <w:p>
            <w:r>
              <w:t>-</w:t>
            </w:r>
          </w:p>
        </w:tc>
      </w:tr>
      <w:tr>
        <w:tc>
          <w:tcPr>
            <w:tcW w:type="dxa" w:w="2257"/>
          </w:tcPr>
          <w:p>
            <w:r>
              <w:t>자본총계</w:t>
            </w:r>
          </w:p>
        </w:tc>
        <w:tc>
          <w:tcPr>
            <w:tcW w:type="dxa" w:w="2257"/>
          </w:tcPr>
          <w:p>
            <w:r>
              <w:t>7,942.4억</w:t>
            </w:r>
          </w:p>
        </w:tc>
        <w:tc>
          <w:tcPr>
            <w:tcW w:type="dxa" w:w="2257"/>
          </w:tcPr>
          <w:p>
            <w:r>
              <w:t>12,562.3억</w:t>
            </w:r>
          </w:p>
        </w:tc>
        <w:tc>
          <w:tcPr>
            <w:tcW w:type="dxa" w:w="2257"/>
          </w:tcPr>
          <w:p>
            <w:r>
              <w:t>-</w:t>
            </w:r>
          </w:p>
        </w:tc>
      </w:tr>
    </w:tbl>
    <w:p>
      <w:pPr>
        <w:pStyle w:val="Heading3"/>
      </w:pPr>
      <w:r>
        <w:rPr>
          <w:b/>
          <w:color w:val="3C3C3C"/>
          <w:sz w:val="26"/>
        </w:rPr>
        <w:t>2.2 주요 재무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영업이익률</w:t>
            </w:r>
          </w:p>
        </w:tc>
        <w:tc>
          <w:tcPr>
            <w:tcW w:type="dxa" w:w="2257"/>
          </w:tcPr>
          <w:p>
            <w:r>
              <w:t>8.3%</w:t>
            </w:r>
          </w:p>
        </w:tc>
        <w:tc>
          <w:tcPr>
            <w:tcW w:type="dxa" w:w="2257"/>
          </w:tcPr>
          <w:p>
            <w:r>
              <w:t>115.7%</w:t>
            </w:r>
          </w:p>
        </w:tc>
        <w:tc>
          <w:tcPr>
            <w:tcW w:type="dxa" w:w="2257"/>
          </w:tcPr>
          <w:p>
            <w:r>
              <w:t>-</w:t>
            </w:r>
          </w:p>
        </w:tc>
      </w:tr>
      <w:tr>
        <w:tc>
          <w:tcPr>
            <w:tcW w:type="dxa" w:w="2257"/>
          </w:tcPr>
          <w:p>
            <w:r>
              <w:t>ROE</w:t>
            </w:r>
          </w:p>
        </w:tc>
        <w:tc>
          <w:tcPr>
            <w:tcW w:type="dxa" w:w="2257"/>
          </w:tcPr>
          <w:p>
            <w:r>
              <w:t>4.2%</w:t>
            </w:r>
          </w:p>
        </w:tc>
        <w:tc>
          <w:tcPr>
            <w:tcW w:type="dxa" w:w="2257"/>
          </w:tcPr>
          <w:p>
            <w:r>
              <w:t>31.4%</w:t>
            </w:r>
          </w:p>
        </w:tc>
        <w:tc>
          <w:tcPr>
            <w:tcW w:type="dxa" w:w="2257"/>
          </w:tcPr>
          <w:p>
            <w:r>
              <w:t>-</w:t>
            </w:r>
          </w:p>
        </w:tc>
      </w:tr>
      <w:tr>
        <w:tc>
          <w:tcPr>
            <w:tcW w:type="dxa" w:w="2257"/>
          </w:tcPr>
          <w:p>
            <w:r>
              <w:t>부채비율</w:t>
            </w:r>
          </w:p>
        </w:tc>
        <w:tc>
          <w:tcPr>
            <w:tcW w:type="dxa" w:w="2257"/>
          </w:tcPr>
          <w:p>
            <w:r>
              <w:t>1856.8%</w:t>
            </w:r>
          </w:p>
        </w:tc>
        <w:tc>
          <w:tcPr>
            <w:tcW w:type="dxa" w:w="2257"/>
          </w:tcPr>
          <w:p>
            <w:r>
              <w:t>1081.5%</w:t>
            </w:r>
          </w:p>
        </w:tc>
        <w:tc>
          <w:tcPr>
            <w:tcW w:type="dxa" w:w="2257"/>
          </w:tcPr>
          <w:p>
            <w:r>
              <w:t>-</w:t>
            </w:r>
          </w:p>
        </w:tc>
      </w:tr>
    </w:tbl>
    <w:p>
      <w:r>
        <w:t>DART 재무 데이터 기준으로 작성되었습니다.</w:t>
      </w:r>
    </w:p>
    <w:p>
      <w:pPr>
        <w:pStyle w:val="Heading2"/>
      </w:pPr>
      <w:r>
        <w:rPr>
          <w:b/>
          <w:color w:val="000000"/>
          <w:sz w:val="32"/>
        </w:rPr>
        <w:t>3. 사업 모델 및 경쟁 우위</w:t>
      </w:r>
    </w:p>
    <w:p>
      <w:pPr>
        <w:pStyle w:val="Heading2"/>
      </w:pPr>
      <w:r>
        <w:rPr>
          <w:b/>
          <w:color w:val="000000"/>
          <w:sz w:val="32"/>
        </w:rPr>
        <w:t>3. 사업 모델 및 경쟁 우위**</w:t>
      </w:r>
    </w:p>
    <w:p>
      <w:pPr>
        <w:pStyle w:val="Heading3"/>
      </w:pPr>
      <w:r>
        <w:rPr>
          <w:b/>
          <w:color w:val="3C3C3C"/>
          <w:sz w:val="26"/>
        </w:rPr>
        <w:t>3.1 핵심 사업 구조와 수익원**</w:t>
      </w:r>
    </w:p>
    <w:p>
      <w:r>
        <w:t>롯데손해보험은 다양한 보험 상품과 서비스를 제공하여 수익을 창출하는 사업 모델을 가지고 있습니다. 핵심 사업 구조는 다음과 같이 요약될 수 있습니다.</w:t>
      </w:r>
    </w:p>
    <w:p>
      <w:r>
        <w:t xml:space="preserve">*   </w:t>
      </w:r>
      <w:r>
        <w:rPr>
          <w:b/>
        </w:rPr>
        <w:t>주요 제품/서비스:</w:t>
      </w:r>
      <w:r>
        <w:t xml:space="preserve"> 롯데손해보험은 개인 및 기업 고객을 대상으로 다양한 손해보험 상품을 제공합니다. 주요 상품군은 자동차보험, 화재보험, 해상보험, 상해보험, 배상책임보험, 장기보험(건강, 운전자, 재물) 등으로 구성됩니다. 최근에는 특정 니즈를 공략하는 미니보험 상품 개발에도 적극적인 모습입니다. 예를 들어, 'CREW 스크린골프 보험'을 출시하여 스크린 골프 이용 중 발생하는 홀인원 비용 등을 보장하는 상품을 제공하고 있습니다.</w:t>
      </w:r>
    </w:p>
    <w:p>
      <w:r>
        <w:t xml:space="preserve">*   </w:t>
      </w:r>
      <w:r>
        <w:rPr>
          <w:b/>
        </w:rPr>
        <w:t>매출 구성:</w:t>
      </w:r>
      <w:r>
        <w:t xml:space="preserve"> 롯데손해보험의 매출은 보험료 수입이 대부분을 차지합니다. 보험료 수입은 각 상품별 판매량과 보험료율에 따라 결정됩니다. 투자 자산 운용을 통한 수익 또한 매출의 일부를 구성합니다. 보험 영업이익은 보험료 수입에서 보험금 지급액, 사업비(판매비, 관리비 등)를 차감한 금액으로 산출됩니다.</w:t>
      </w:r>
    </w:p>
    <w:p>
      <w:r>
        <w:t xml:space="preserve">*   </w:t>
      </w:r>
      <w:r>
        <w:rPr>
          <w:b/>
        </w:rPr>
        <w:t>수익 구조:</w:t>
      </w:r>
      <w:r>
        <w:t xml:space="preserve"> 롯데손해보험의 수익은 크게 보험 영업이익과 투자 영업이익으로 구성됩니다. 보험 영업이익은 언더라이팅 역량(위험 평가 및 보험료 책정 능력)과 손해사정 역량(보험금 지급 심사 및 관리 능력)에 따라 달라집니다. 투자 영업이익은 자산운용 능력에 따라 변동됩니다. 금리 변동, 시장 상황 등 외부 요인에 따라 투자 수익률이 영향을 받습니다.</w:t>
      </w:r>
    </w:p>
    <w:p>
      <w:r/>
      <w:r>
        <w:rPr>
          <w:b/>
        </w:rPr>
        <w:t>정량적 근거:</w:t>
      </w:r>
      <w:r>
        <w:t xml:space="preserve"> 롯데손해보험의 사업보고서를 통해 상품별 매출 비중, 보험 영업이익, 투자 영업이익 등 구체적인 수치를 확인할 수 있습니다. (별도 사업보고서 데이터 필요)</w:t>
      </w:r>
    </w:p>
    <w:p>
      <w:r/>
      <w:r>
        <w:rPr>
          <w:b/>
        </w:rPr>
        <w:t>정성적 근거:</w:t>
      </w:r>
      <w:r>
        <w:t xml:space="preserve"> 다양한 보험 상품 포트폴리오를 구축하고, 고객의 니즈에 맞는 신규 상품을 개발하는 전략은 수익 기반을 다변화하고 안정적인 성장을 도모하는 데 기여합니다.</w:t>
      </w:r>
    </w:p>
    <w:p>
      <w:pPr>
        <w:pStyle w:val="Heading3"/>
      </w:pPr>
      <w:r>
        <w:rPr>
          <w:b/>
          <w:color w:val="3C3C3C"/>
          <w:sz w:val="26"/>
        </w:rPr>
        <w:t>3.2 시장 포지션 및 경쟁 환경**</w:t>
      </w:r>
    </w:p>
    <w:p>
      <w:r>
        <w:t>국내 손해보험 시장은 대형 보험사(삼성화재, 현대해상, DB손해보험, KB손해보험 등)가 시장을 과점하고 있는 형태입니다. 롯데손해보험은 중위권 보험사로서 경쟁사 대비 차별화된 전략을 통해 시장 점유율을 확대하고자 노력하고 있습니다.</w:t>
      </w:r>
    </w:p>
    <w:p>
      <w:r>
        <w:t xml:space="preserve">*   </w:t>
      </w:r>
      <w:r>
        <w:rPr>
          <w:b/>
        </w:rPr>
        <w:t>시장 규모 및 성장률:</w:t>
      </w:r>
      <w:r>
        <w:t xml:space="preserve"> 손해보험 시장은 고령화 사회 진입, 1인 가구 증가, 생활 레저 활동 증가 등 사회경제적 변화에 따라 지속적인 성장이 예상됩니다. 특히, 코로나19 팬데믹 이후 건강 및 안전에 대한 관심이 높아지면서 관련 보험 상품에 대한 수요가 증가하고 있습니다. (시장조사기관의 보고서 참조 필요)</w:t>
      </w:r>
    </w:p>
    <w:p>
      <w:r>
        <w:t xml:space="preserve">*   </w:t>
      </w:r>
      <w:r>
        <w:rPr>
          <w:b/>
        </w:rPr>
        <w:t>경쟁사 대비 차별점:</w:t>
      </w:r>
      <w:r>
        <w:t xml:space="preserve"> 롯데손해보험은 디지털 전환을 가속화하고, MZ세대를 타겟으로 한 차별화된 상품 및 서비스 개발에 집중하고 있습니다. ‘CREW 스크린골프 보험’과 같이 특정 고객층의 니즈를 충족시키는 틈새 시장 공략 전략은 경쟁 우위를 확보하는 데 기여할 수 있습니다. 또한, 롯데 그룹의 유통 채널과의 시너지 효과를 활용하여 고객 접점을 확대하고 있습니다.</w:t>
      </w:r>
    </w:p>
    <w:p>
      <w:r/>
      <w:r>
        <w:rPr>
          <w:b/>
        </w:rPr>
        <w:t>정량적 근거:</w:t>
      </w:r>
      <w:r>
        <w:t xml:space="preserve"> 손해보험협회의 통계 자료를 통해 각 보험사별 시장 점유율, 성장률 등을 비교 분석할 수 있습니다.</w:t>
      </w:r>
    </w:p>
    <w:p>
      <w:r/>
      <w:r>
        <w:rPr>
          <w:b/>
        </w:rPr>
        <w:t>정성적 근거:</w:t>
      </w:r>
      <w:r>
        <w:t xml:space="preserve"> 디지털 플랫폼 강화, 틈새 시장 공략, 그룹 시너지 활용 등은 롯데손해보험이 경쟁 우위를 확보하기 위한 전략적 선택으로 판단됩니다.</w:t>
      </w:r>
    </w:p>
    <w:p>
      <w:pPr>
        <w:pStyle w:val="Heading3"/>
      </w:pPr>
      <w:r>
        <w:rPr>
          <w:b/>
          <w:color w:val="3C3C3C"/>
          <w:sz w:val="26"/>
        </w:rPr>
        <w:t>3.3 성장 전략 및 제품 로드맵**</w:t>
      </w:r>
    </w:p>
    <w:p>
      <w:r>
        <w:t>롯데손해보험은 다음과 같은 성장 전략을 추진하고 있습니다.</w:t>
      </w:r>
    </w:p>
    <w:p>
      <w:r>
        <w:t xml:space="preserve">*   </w:t>
      </w:r>
      <w:r>
        <w:rPr>
          <w:b/>
        </w:rPr>
        <w:t>신규 시장/제품 확장 전략:</w:t>
      </w:r>
      <w:r>
        <w:t xml:space="preserve"> 디지털 채널 강화, 데이터 기반의 맞춤형 상품 개발, ESG 경영 확대를 통해 신규 고객 유치 및 시장 점유율 확대를 목표로 하고 있습니다. 특히, 인슈어테크 스타트업과의 협력 및 투자를 통해 디지털 보험 시장에서의 경쟁력을 강화하고 있습니다. 또한, 해외 시장 진출을 모색하고 있으며, 동남아시아 시장을 중심으로 사업 확장을 검토하고 있습니다.</w:t>
      </w:r>
    </w:p>
    <w:p>
      <w:r>
        <w:t xml:space="preserve">*   </w:t>
      </w:r>
      <w:r>
        <w:rPr>
          <w:b/>
        </w:rPr>
        <w:t>실행 가능성:</w:t>
      </w:r>
      <w:r>
        <w:t xml:space="preserve"> 롯데손해보험은 디지털 전환에 대한 투자 확대, 외부 파트너십 강화, 규제 변화에 대한 적극적인 대응 등을 통해 성장 전략의 실행 가능성을 높이고 있습니다. 그러나, 자본 확충 및 재무 건전성 강화는 성장 전략 실행의 중요한 전제 조건입니다. 최근 유상증자 계획 발표는 재무 건전성을 강화하기 위한 노력의 일환으로 보입니다. 그러나, 킥스(K-ICS) 비율 규제 강화에 따라 자본 압박이 가중될 수 있다는 점은 리스크 요인으로 작용할 수 있습니다.</w:t>
      </w:r>
    </w:p>
    <w:p>
      <w:r/>
      <w:r>
        <w:rPr>
          <w:b/>
        </w:rPr>
        <w:t>정량적 근거:</w:t>
      </w:r>
      <w:r>
        <w:t xml:space="preserve"> 롯데손해보험의 투자 계획, M&amp;A 현황, 해외 시장 진출 계획 등을 통해 성장 전략의 구체적인 실행 계획을 확인할 수 있습니다. (관련 공시 자료 필요)</w:t>
      </w:r>
    </w:p>
    <w:p>
      <w:r/>
      <w:r>
        <w:rPr>
          <w:b/>
        </w:rPr>
        <w:t>정성적 근거:</w:t>
      </w:r>
      <w:r>
        <w:t xml:space="preserve"> 디지털 전환, ESG 경영, 해외 시장 진출 등은 롯데손해보험의 장기적인 성장 동력을 확보하기 위한 전략으로 판단됩니다.</w:t>
      </w:r>
    </w:p>
    <w:p>
      <w:pPr>
        <w:pStyle w:val="Heading3"/>
      </w:pPr>
      <w:r>
        <w:rPr>
          <w:b/>
          <w:color w:val="3C3C3C"/>
          <w:sz w:val="26"/>
        </w:rPr>
        <w:t>3.4 운영 역량 및 ESG**</w:t>
      </w:r>
    </w:p>
    <w:p>
      <w:r>
        <w:t>롯데손해보험의 운영 역량 및 ESG 경영 수준은 다음과 같이 평가할 수 있습니다.</w:t>
      </w:r>
    </w:p>
    <w:p>
      <w:r>
        <w:t xml:space="preserve">*   </w:t>
      </w:r>
      <w:r>
        <w:rPr>
          <w:b/>
        </w:rPr>
        <w:t>생산/공급망:</w:t>
      </w:r>
      <w:r>
        <w:t xml:space="preserve"> 롯데손해보험은 다양한 보험 상품을 효율적으로 개발하고 판매하기 위한 시스템을 구축하고 있습니다. 보험 상품 개발 프로세스, 언더라이팅 시스템, 손해사정 시스템 등 핵심 운영 시스템의 효율성을 지속적으로 개선하고 있습니다.</w:t>
      </w:r>
    </w:p>
    <w:p>
      <w:r>
        <w:t xml:space="preserve">*   </w:t>
      </w:r>
      <w:r>
        <w:rPr>
          <w:b/>
        </w:rPr>
        <w:t>인재:</w:t>
      </w:r>
      <w:r>
        <w:t xml:space="preserve"> 롯데손해보험은 보험 전문가 양성을 위한 교육 프로그램을 운영하고 있으며, 디지털 역량 강화를 위한 외부 전문가 영입에도 적극적으로 나서고 있습니다.</w:t>
      </w:r>
    </w:p>
    <w:p>
      <w:r>
        <w:t xml:space="preserve">*   </w:t>
      </w:r>
      <w:r>
        <w:rPr>
          <w:b/>
        </w:rPr>
        <w:t>ESG:</w:t>
      </w:r>
      <w:r>
        <w:t xml:space="preserve"> 롯데손해보험은 ESG 경영을 강화하기 위해 친환경 상품 개발, 사회공헌 활동 확대, 투명한 지배구조 확립 등을 추진하고 있습니다. 특히, 기후 변화 대응을 위한 투자 확대, 사회적 책임 투자를 확대하고 있습니다.</w:t>
      </w:r>
    </w:p>
    <w:p>
      <w:r/>
      <w:r>
        <w:rPr>
          <w:b/>
        </w:rPr>
        <w:t>정량적 근거:</w:t>
      </w:r>
      <w:r>
        <w:t xml:space="preserve"> 롯데손해보험의 인건비 지출, 교육 투자 규모, ESG 관련 투자 규모 등을 통해 운영 역량 및 ESG 경영 수준을 평가할 수 있습니다. (관련 공시 자료 필요)</w:t>
      </w:r>
    </w:p>
    <w:p>
      <w:r/>
      <w:r>
        <w:rPr>
          <w:b/>
        </w:rPr>
        <w:t>정성적 근거:</w:t>
      </w:r>
      <w:r>
        <w:t xml:space="preserve"> ESG 경영은 기업의 지속 가능한 성장을 위한 필수적인 요소로, 롯데손해보험은 ESG 경영을 통해 기업 가치를 제고하고 사회적 책임을 다하고자 노력하고 있습니다.</w:t>
      </w:r>
    </w:p>
    <w:p>
      <w:pPr>
        <w:pStyle w:val="Heading3"/>
      </w:pPr>
      <w:r>
        <w:rPr>
          <w:b/>
          <w:color w:val="3C3C3C"/>
          <w:sz w:val="26"/>
        </w:rPr>
        <w:t>3.5 결론: 사업 모델의 지속 가능성**</w:t>
      </w:r>
    </w:p>
    <w:p>
      <w:r>
        <w:t>롯데손해보험의 사업 모델은 향후 3~5년 동안 지속 가능한 성장을 위한 잠재력을 가지고 있다고 판단됩니다. 디지털 전환, 틈새 시장 공략, ESG 경영 강화 등은 롯데손해보험의 경쟁력을 강화하고 장기적인 성장 동력을 확보하는 데 기여할 것으로 예상됩니다.</w:t>
      </w:r>
    </w:p>
    <w:p>
      <w:r>
        <w:t>그러나, 다음과 같은 리스크 요인에 대한 지속적인 관리가 필요합니다.</w:t>
      </w:r>
    </w:p>
    <w:p>
      <w:r>
        <w:t xml:space="preserve">*   </w:t>
      </w:r>
      <w:r>
        <w:rPr>
          <w:b/>
        </w:rPr>
        <w:t>경쟁 심화:</w:t>
      </w:r>
      <w:r>
        <w:t xml:space="preserve"> 손해보험 시장은 경쟁이 치열하며, 대형 보험사들의 시장 지배력이 높은 상황입니다.</w:t>
      </w:r>
    </w:p>
    <w:p>
      <w:r>
        <w:t xml:space="preserve">*   </w:t>
      </w:r>
      <w:r>
        <w:rPr>
          <w:b/>
        </w:rPr>
        <w:t>규제 강화:</w:t>
      </w:r>
      <w:r>
        <w:t xml:space="preserve"> 킥스(K-ICS) 비율 규제 강화 등 보험 산업에 대한 규제가 강화될 수 있습니다.</w:t>
      </w:r>
    </w:p>
    <w:p>
      <w:r>
        <w:t xml:space="preserve">*   </w:t>
      </w:r>
      <w:r>
        <w:rPr>
          <w:b/>
        </w:rPr>
        <w:t>금리 변동:</w:t>
      </w:r>
      <w:r>
        <w:t xml:space="preserve"> 금리 변동은 투자 수익률에 영향을 미쳐 수익성에 부정적인 영향을 미칠 수 있습니다.</w:t>
      </w:r>
    </w:p>
    <w:p>
      <w:r>
        <w:t xml:space="preserve">*   </w:t>
      </w:r>
      <w:r>
        <w:rPr>
          <w:b/>
        </w:rPr>
        <w:t>자본 확충:</w:t>
      </w:r>
      <w:r>
        <w:t xml:space="preserve"> 킥스(K-ICS) 비율 유지를 위한 지속적인 자본 확충의 필요성이 존재합니다.</w:t>
      </w:r>
    </w:p>
    <w:p>
      <w:r/>
      <w:r>
        <w:rPr>
          <w:b/>
        </w:rPr>
        <w:t>종합적으로 판단할 때, 롯데손해보험은 차별화된 전략과 운영 효율성 개선을 통해 지속 가능한 성장을 추구할 수 있을 것으로 예상됩니다. 다만, 리스크 요인에 대한 적극적인 관리와 자본 확충 노력이 필요합니다.</w:t>
      </w:r>
      <w:r/>
    </w:p>
    <w:p>
      <w:pPr>
        <w:pStyle w:val="Heading2"/>
      </w:pPr>
      <w:r>
        <w:rPr>
          <w:b/>
          <w:color w:val="000000"/>
          <w:sz w:val="32"/>
        </w:rPr>
        <w:t>4. 리스크 및 기회 요인</w:t>
      </w:r>
    </w:p>
    <w:p>
      <w:pPr>
        <w:pStyle w:val="Heading3"/>
      </w:pPr>
      <w:r>
        <w:rPr>
          <w:b/>
          <w:color w:val="3C3C3C"/>
          <w:sz w:val="26"/>
        </w:rPr>
        <w:t>4.1 리스크 요인 (Risk Factors)</w:t>
      </w:r>
    </w:p>
    <w:p>
      <w:pPr>
        <w:pStyle w:val="ListBullet"/>
      </w:pPr>
      <w:r>
        <w:t>**[리스크 1] 금리 변동성 확대 및 자산 건전성 악화 가능성**: 급격한 금리 인상은 보험사의 자산-부채 듀레이션 불일치 문제를 심화시켜 금리 역마진 발생 가능성을 높입니다. 특히 롯데손해보험은 채권 비중이 높아 금리 변동에 민감하며, 부동산 경기 침체 장기화 시 프로젝트파이낸싱(PF) 대출 부실화로 인한 자산 건전성 악화가 우려됩니다. 금리 상승 추세가 지속되고 부동산 시장의 불확실성이 확대될 경우, 수익성 및 재무 건전성에 부정적인 영향을 미칠 수 있습니다.</w:t>
      </w:r>
    </w:p>
    <w:p>
      <w:pPr>
        <w:pStyle w:val="ListBullet"/>
      </w:pPr>
      <w:r>
        <w:t>**[리스크 2] 경쟁 심화 및 시장 점유율 확대의 어려움**: 손해보험 시장은 대형 보험사 위주로 과점화되어 있으며, 디지털 보험사의 등장으로 경쟁이 더욱 심화되고 있습니다. 롯데손해보험은 후발 주자로서 브랜드 인지도 및 영업망에서 경쟁사에 비해 열위에 있어 시장 점유율 확대에 어려움을 겪을 수 있습니다. 혁신적인 상품 개발 및 차별화된 서비스 제공을 통해 경쟁력을 확보하지 못할 경우, 지속적인 성장 동력 확보에 제약이 따를 수 있습니다.</w:t>
      </w:r>
    </w:p>
    <w:p>
      <w:pPr>
        <w:pStyle w:val="ListBullet"/>
      </w:pPr>
      <w:r>
        <w:t>**[리스크 3] 규제 강화 및 감독 당국의 제재 가능성**: 보험 산업은 정부 규제에 민감하게 반응하며, 새로운 회계 기준(IFRS17) 도입 및 지급여력비율(K-ICS) 제도 변화 등 규제 강화 추세에 있습니다. 롯데손해보험은 강화된 규제 환경에 적응하기 위해 추가적인 자본 확충이 필요할 수 있으며, 이는 수익성 개선에 부담으로 작용할 수 있습니다. 또한, 불완전 판매, 보험금 지급 지연 등과 관련된 감독 당국의 제재는 기업 이미지 손상 및 영업 활동 제한으로 이어질 수 있습니다.</w:t>
      </w:r>
    </w:p>
    <w:p>
      <w:pPr>
        <w:pStyle w:val="ListBullet"/>
      </w:pPr>
      <w:r>
        <w:t>**[리스크 4] 자동차보험 손해율 악화 지속**: 자동차보험은 손해보험사의 주요 상품이지만, 높은 사고율 및 보험사기 등으로 인해 손해율 관리가 어렵습니다. 특히 롯데손해보험은 경쟁사 대비 자동차보험 비중이 높아 손해율 변동에 민감하게 반응하며, 최근 물가 상승 및 부품 가격 인상 등으로 인해 손해율 악화가 지속될 가능성이 있습니다. 효과적인 손해율 관리 방안을 마련하지 못할 경우, 전체 수익성에 부정적인 영향을 미칠 수 있습니다.</w:t>
      </w:r>
    </w:p>
    <w:p>
      <w:pPr>
        <w:pStyle w:val="ListBullet"/>
      </w:pPr>
      <w:r>
        <w:t>**[리스크 5] 사이버 보안 위협 및 개인정보 유출 위험**: 디지털 전환이 가속화되면서 사이버 공격 및 개인정보 유출 위험이 증가하고 있습니다. 롯데손해보험은 고객의 민감한 개인정보를 다량으로 보유하고 있어 사이버 공격에 취약하며, 정보 유출 시 고객 신뢰도 하락 및 법적 책임 문제로 이어질 수 있습니다. 강력한 보안 시스템 구축 및 정보 보호 교육 강화 등 적극적인 대응책 마련이 필요합니다.</w:t>
      </w:r>
    </w:p>
    <w:p>
      <w:pPr>
        <w:pStyle w:val="ListBullet"/>
      </w:pPr>
      <w:r>
        <w:t>**[리스크 6] 해외 사업 부진 및 신규 시장 진출 실패 위험**: 롯데손해보험은 해외 시장 진출을 통해 성장 동력을 확보하고자 하지만, 현지 시장 환경에 대한 이해 부족 및 경쟁력 확보 실패로 인해 해외 사업 부진이 발생할 수 있습니다. 또한, 신규 시장 진출 시 예상치 못한 규제 장벽, 문화적 차이, 경쟁 심화 등으로 인해 실패할 가능성도 존재합니다. 신중한 시장 조사 및 진출 전략 수립이 중요하며, 실패 시 투자 손실 발생 및 기업 이미지 훼손으로 이어질 수 있습니다.</w:t>
      </w:r>
    </w:p>
    <w:p>
      <w:pPr>
        <w:pStyle w:val="ListBullet"/>
      </w:pPr>
      <w:r>
        <w:t>**[리스크 7] 인력 이탈 및 핵심 인재 확보의 어려움**: 보험 산업은 경쟁이 치열하며, 특히 디지털 전환 시대에 맞는 전문 인력 확보가 중요합니다. 롯데손해보험은 낮은 연봉 수준 및 보수적인 기업 문화 등으로 인해 인력 이탈이 잦고, 핵심 인재 확보에 어려움을 겪을 수 있습니다. 우수 인력 확보 및 유지를 위한 보상 체계 개선 및 기업 문화 혁신이 필요하며, 인력 부족은 경쟁력 약화 및 성장 잠재력 저하로 이어질 수 있습니다.</w:t>
      </w:r>
    </w:p>
    <w:p>
      <w:pPr>
        <w:pStyle w:val="ListBullet"/>
      </w:pPr>
      <w:r>
        <w:t>**[리스크 8] 자연재해 증가 및 예측 불가능한 보험금 지급 증가**: 기후 변화로 인해 자연재해 발생 빈도 및 강도가 증가하고 있으며, 이는 보험금 지급 증가로 이어져 손해보험사의 수익성에 부정적인 영향을 미칩니다. 롯데손해보험은 자연재해 관련 보험 상품 비중이 높아 더욱 민감하게 반응하며, 특히 예측 불가능한 대규모 재해 발생 시 막대한 보험금 지급 부담을 안게 될 수 있습니다. 위험 관리 시스템 고도화 및 재보험 가입 등을 통해 자연재해 위험을 효과적으로 관리해야 합니다.</w:t>
      </w:r>
    </w:p>
    <w:p>
      <w:pPr>
        <w:pStyle w:val="Heading3"/>
      </w:pPr>
      <w:r>
        <w:rPr>
          <w:b/>
          <w:color w:val="3C3C3C"/>
          <w:sz w:val="26"/>
        </w:rPr>
        <w:t>4.2 기회 요인 (Opportunity Factors)</w:t>
      </w:r>
    </w:p>
    <w:p>
      <w:pPr>
        <w:pStyle w:val="ListBullet"/>
      </w:pPr>
      <w:r>
        <w:t>**[기회 1] 고령화 사회 진입에 따른 시니어 보험 시장 성장**: 고령화 사회 진입으로 인해 건강보험, 간병보험 등 시니어 계층을 위한 보험 수요가 증가하고 있습니다. 롯데손해보험은 맞춤형 상품 개발 및 판매 채널 확대를 통해 시니어 보험 시장을 선점할 수 있으며, 이는 새로운 수익 창출 기회로 이어질 수 있습니다. 특히 디지털 기술을 활용한 헬스케어 서비스 연계 상품 개발은 경쟁력 강화에 기여할 수 있습니다.</w:t>
      </w:r>
    </w:p>
    <w:p>
      <w:pPr>
        <w:pStyle w:val="ListBullet"/>
      </w:pPr>
      <w:r>
        <w:t>**[기회 2] 디지털 전환 가속화 및 플랫폼 비즈니스 확장**: 4차 산업혁명 시대에 발맞춰 디지털 전환을 가속화하고 플랫폼 비즈니스를 확장할 수 있는 기회가 존재합니다. 롯데손해보험은 인공지능(AI), 빅데이터, 클라우드 등 디지털 기술을 활용하여 보험 상품 개발, 언더라이팅, 보험금 지급 등 전반적인 업무 효율성을 향상시킬 수 있습니다. 또한, 디지털 플랫폼 구축을 통해 새로운 고객 확보 및 맞춤형 보험 서비스 제공이 가능합니다.</w:t>
      </w:r>
    </w:p>
    <w:p>
      <w:pPr>
        <w:pStyle w:val="ListBullet"/>
      </w:pPr>
      <w:r>
        <w:t>**[기회 3] ESG 경영 확산에 따른 사회적 가치 창출**: ESG(환경, 사회, 지배구조) 경영이 기업의 지속가능성을 평가하는 중요한 지표로 부상하면서, 사회적 가치 창출을 위한 노력이 중요해지고 있습니다. 롯데손해보험은 친환경 보험 상품 개발, 사회공헌 활동 강화, 투명한 지배구조 확립 등을 통해 ESG 경영을 실천하고 기업 이미지를 제고할 수 있습니다. 이는 투자 유치 및 고객 신뢰도 향상에 긍정적인 영향을 미칠 수 있습니다.</w:t>
      </w:r>
    </w:p>
    <w:p>
      <w:pPr>
        <w:pStyle w:val="ListBullet"/>
      </w:pPr>
      <w:r>
        <w:t>**[기회 4] 반려동물 시장 성장 및 펫보험 수요 증가**: 반려동물 양육 인구가 증가하면서 펫보험 시장이 빠르게 성장하고 있습니다. 롯데손해보험은 차별화된 보장 내용 및 합리적인 보험료를 제공하는 펫보험 상품 개발을 통해 시장 점유율을 확대할 수 있습니다. 또한, 동물병원과의 제휴를 통해 고객 편의성을 높이고, 펫 관련 서비스 플랫폼과의 연계를 통해 시너지를 창출할 수 있습니다.</w:t>
      </w:r>
    </w:p>
    <w:p>
      <w:pPr>
        <w:pStyle w:val="ListBullet"/>
      </w:pPr>
      <w:r>
        <w:t>**[기회 5] 정부 정책 지원 및 규제 완화**: 정부는 보험 산업의 경쟁력 강화를 위해 다양한 정책 지원 및 규제 완화를 추진하고 있습니다. 롯데손해보험은 정부 정책 방향에 발맞춰 신규 사업 진출, 해외 시장 확대 등 성장 기회를 포착할 수 있습니다. 특히 헬스케어 산업 규제 완화는 롯데손해보험이 헬스케어 서비스 연계 보험 상품 개발 및 판매를 확대하는 데 기여할 수 있습니다.</w:t>
      </w:r>
    </w:p>
    <w:p>
      <w:pPr>
        <w:pStyle w:val="ListBullet"/>
      </w:pPr>
      <w:r>
        <w:t>**[기회 6] 마이데이터 사업 참여 및 데이터 기반 서비스 개발**: 마이데이터 사업 참여를 통해 고객 데이터를 활용한 맞춤형 보험 상품 및 서비스를 개발할 수 있습니다. 롯데손해보험은 고객의 보험 가입 정보, 건강 정보, 소비 패턴 등 다양한 데이터를 분석하여 개인별 니즈에 맞는 보험 상품을 추천하고, 위험 관리 컨설팅 서비스를 제공할 수 있습니다. 이는 고객 만족도 향상 및 신규 고객 유치에 기여할 수 있습니다.</w:t>
      </w:r>
    </w:p>
    <w:p>
      <w:pPr>
        <w:pStyle w:val="ListBullet"/>
      </w:pPr>
      <w:r>
        <w:t>**[기회 7] 새로운 판매 채널 확보 및 제휴 확대**: 보험 상품 판매 채널을 다각화하고 다양한 기업과의 제휴를 통해 고객 접점을 확대할 수 있습니다. 롯데손해보험은 GA(독립법인대리점), 온라인 채널, 방카슈랑스 등 기존 판매 채널 외에 새로운 판매 채널을 확보하고, 금융기관, 플랫폼 기업, 유통 기업 등과 제휴를 통해 고객 접근성을 높일 수 있습니다. 특히 디지털 채널 강화를 통해 젊은 세대 고객을 확보하는 것이 중요합니다.</w:t>
      </w:r>
    </w:p>
    <w:p>
      <w:pPr>
        <w:pStyle w:val="ListBullet"/>
      </w:pPr>
      <w:r>
        <w:t>**[기회 8] AI 기술 활용한 보험 사기 탐지 및 예방 강화**: 인공지능(AI) 기술을 활용하여 보험 사기를 탐지하고 예방할 수 있습니다. 롯데손해보험은 AI 기반 사기 탐지 시스템을 구축하여 보험금 누수를 방지하고, 보험금 지급 심사 과정을 효율화할 수 있습니다. 이는 손해율 개선 및 보험금 지급 신뢰도 향상에 기여할 수 있으며, 궁극적으로는 기업의 수익성 개선으로 이어질 수 있습니다.</w:t>
      </w:r>
    </w:p>
    <w:p>
      <w:pPr>
        <w:pStyle w:val="Heading2"/>
      </w:pPr>
      <w:r>
        <w:rPr>
          <w:b/>
          <w:color w:val="000000"/>
          <w:sz w:val="32"/>
        </w:rPr>
        <w:t>5. 최종 투자 결론 및 모니터링 포인트</w:t>
      </w:r>
    </w:p>
    <w:p>
      <w:pPr>
        <w:pStyle w:val="Heading3"/>
      </w:pPr>
      <w:r>
        <w:rPr>
          <w:b/>
          <w:color w:val="3C3C3C"/>
          <w:sz w:val="26"/>
        </w:rPr>
        <w:t>5.1 최종 투자 결론</w:t>
      </w:r>
    </w:p>
    <w:p>
      <w:r>
        <w:t>롯데손해보험에 대한 투자 결정은 신중하게 접근해야 합니다. 긍정적인 측면으로는 고령화 사회 진입에 따른 시니어 보험 시장 성장, 디지털 전환 가속화, ESG 경영 확산 등 기회 요인이 존재합니다. 특히 디지털 전환은 롯데손해보험이 경쟁력을 강화하고 새로운 성장 동력을 확보하는 데 중요한 역할을 할 수 있습니다. 다만, 금리 변동성 확대 및 자산 건전성 악화 가능성, 경쟁 심화, 규제 강화 등 리스크 요인도 간과할 수 없습니다. 특히 금리 인상 추세는 롯데손해보험의 수익성에 부정적인 영향을 미칠 수 있으며, 부동산 경기 침체 장기화는 자산 건전성 악화로 이어질 수 있습니다.</w:t>
      </w:r>
    </w:p>
    <w:p>
      <w:r>
        <w:t>따라서, 롯데손해보험에 대한 투자는 단기적인 관점보다는 중장기적인 관점에서 신중하게 검토해야 합니다. 롯데손해보험이 디지털 전환을 성공적으로 추진하고, 시니어 보험 시장 및 펫보험 시장에서 경쟁력을 확보할 수 있다면 투자 가치가 충분하다고 판단됩니다. 그러나 금리 변동성 및 부동산 경기 침체 등 외부 환경 변화에 대한 리스크 관리 능력과 경쟁 심화에 대한 대응 전략을 면밀히 평가해야 합니다.</w:t>
      </w:r>
    </w:p>
    <w:p>
      <w:r>
        <w:t xml:space="preserve">최종적으로 투자 결정은 롯데손해보험의 디지털 전환 전략 실행력, 수익성 개선 노력, 자산 건전성 관리 능력 등을 종합적으로 고려하여 신중하게 판단해야 합니다. 현재 시점에서는 </w:t>
      </w:r>
      <w:r>
        <w:rPr>
          <w:b/>
        </w:rPr>
        <w:t>중립적인 투자 의견</w:t>
      </w:r>
      <w:r>
        <w:t>을 제시하며, 향후 롯데손해보험의 실적 추이 및 시장 상황 변화를 지속적으로 모니터링할 필요가 있습니다.</w:t>
      </w:r>
    </w:p>
    <w:p>
      <w:pPr>
        <w:pStyle w:val="Heading3"/>
      </w:pPr>
      <w:r>
        <w:rPr>
          <w:b/>
          <w:color w:val="3C3C3C"/>
          <w:sz w:val="26"/>
        </w:rPr>
        <w:t>5.2 모니터링 포인트</w:t>
      </w:r>
    </w:p>
    <w:p>
      <w:pPr>
        <w:pStyle w:val="ListBullet"/>
      </w:pPr>
      <w:r>
        <w:t>**[포인트 1] 금리 변동 추이 및 자산-부채 듀레이션 관리 현황**: 금리 변동성이 롯데손해보험의 수익성에 미치는 영향과 자산-부채 듀레이션 관리 전략의 효과성을 지속적으로 모니터링해야 합니다.</w:t>
      </w:r>
    </w:p>
    <w:p>
      <w:pPr>
        <w:pStyle w:val="ListBullet"/>
      </w:pPr>
      <w:r>
        <w:t>**[포인트 2] 부동산 PF 대출 부실화 가능성 및 건전성 관리 현황**: 부동산 경기 침체가 롯데손해보험의 자산 건전성에 미치는 영향과 PF 대출 리스크 관리 시스템의 적절성을 평가해야 합니다.</w:t>
      </w:r>
    </w:p>
    <w:p>
      <w:pPr>
        <w:pStyle w:val="ListBullet"/>
      </w:pPr>
      <w:r>
        <w:t>**[포인트 3] 디지털 전환 추진 현황 및 성과**: 디지털 전환 전략의 실행 속도와 성과를 평가하고, 디지털 플랫폼 구축 및 디지털 기반 서비스 개발 현황을 모니터링해야 합니다.</w:t>
      </w:r>
    </w:p>
    <w:p>
      <w:pPr>
        <w:pStyle w:val="ListBullet"/>
      </w:pPr>
      <w:r>
        <w:t>**[포인트 4] 시니어 보험 및 펫보험 시장 점유율 변화 추이**: 시니어 보험 및 펫보험 시장에서의 롯데손해보험의 경쟁력 변화와 시장 점유율 확대 추이를 주시해야 합니다.</w:t>
      </w:r>
    </w:p>
    <w:p>
      <w:pPr>
        <w:pStyle w:val="ListBullet"/>
      </w:pPr>
      <w:r>
        <w:t>**[포인트 5] ESG 경영 실천 현황 및 기업 이미지 변화**: ESG 경영 관련 활동의 성과와 기업 이미지 개선 효과를 모니터링하고, 투자 유치 및 고객 신뢰도 향상에 미치는 영향을 평가해야 합니다.</w:t>
      </w:r>
    </w:p>
    <w:p>
      <w:pPr>
        <w:pStyle w:val="ListBullet"/>
      </w:pPr>
      <w:r>
        <w:t>**[포인트 6] 자동차보험 손해율 변동 추이 및 관리 노력**: 자동차보험 손해율 변동 추이를 지속적으로 모니터링하고, 손해율 개선을 위한 롯데손해보험의 노력을 평가해야 합니다.</w:t>
      </w:r>
    </w:p>
    <w:p>
      <w:pPr>
        <w:pStyle w:val="ListBullet"/>
      </w:pPr>
      <w:r>
        <w:t>**[포인트 7] 인력 이탈률 및 핵심 인재 확보 현황**: 인력 이탈률 추이를 주시하고, 우수 인력 확보 및 유지를 위한 롯데손해보험의 노력과 성과를 평가해야 합니다.</w:t>
      </w:r>
    </w:p>
    <w:p>
      <w:pPr>
        <w:pStyle w:val="ListBullet"/>
      </w:pPr>
      <w:r>
        <w:t>**[포인트 8] 정부 규제 변화 및 대응 전략**: 보험 산업 관련 정부 규제 변화를 주시하고, 롯데손해보험의 규제 준수 노력 및 대응 전략의 적절성을 평가해야 합니다.</w:t>
      </w:r>
    </w:p>
    <w:p>
      <w:pPr>
        <w:pStyle w:val="Heading2"/>
      </w:pPr>
      <w:r>
        <w:rPr>
          <w:b/>
          <w:color w:val="000000"/>
          <w:sz w:val="32"/>
        </w:rPr>
        <w:t>6. 최근 뉴스 및 인사이트</w:t>
      </w:r>
    </w:p>
    <w:p>
      <w:pPr>
        <w:pStyle w:val="ListBullet"/>
      </w:pPr>
      <w:r>
        <w:t>**[뉴스 1] 롯데손보, 경영개선계획 핵심 '유상증자'...보험사, 기본자본 압박 가중 (뉴스1)**:  경영 개선 계획의 핵심으로 유상증자를 추진하고 있다는 내용으로, 보험사의 자본 건전성 확보 필요성이 높아지는 가운데 롯데손보의 자본 확충 노력을 보여준다. 향후 자본 시장 상황에 따라 유상증자 성공 여부가 중요하게 작용할 것으로 예상된다.</w:t>
      </w:r>
    </w:p>
    <w:p>
      <w:pPr>
        <w:pStyle w:val="ListBullet"/>
      </w:pPr>
      <w:r>
        <w:t>**[뉴스 2] 롯데손해보험 주가, 1월 23일 1,713원 2.57% 상승 마감 (잡포스트)**: 롯데손해보험의 주가가 소폭 상승했다는 내용이다. 단기적인 주가 변동은 시장 상황 및 투자 심리에 영향을 받지만, 장기적인 투자 관점에서는 기업의 펀더멘털 분석이 더 중요하다.</w:t>
      </w:r>
    </w:p>
    <w:p>
      <w:pPr>
        <w:pStyle w:val="ListBullet"/>
      </w:pPr>
      <w:r>
        <w:t>**[뉴스 3] 보험사 기본자본 킥스비율 규제 도입...50% 미만시 제재 (매일경제)**: 보험사의 건전성을 평가하는 지표인 K-ICS 비율 규제 도입과 관련한 내용이다. 롯데손해보험을 포함한 보험사들은 K-ICS 비율 관리에 더욱 집중해야 하며, 자본 확충 및 리스크 관리 역량 강화가 필요할 것으로 보인다.</w:t>
      </w:r>
    </w:p>
    <w:p>
      <w:pPr>
        <w:pStyle w:val="ListBullet"/>
      </w:pPr>
      <w:r>
        <w:t>**[뉴스 4] "홀인원하면 20만원"...롯데손보, ‘CREW 스크린골프 보험’ 출시 (DealSite경제TV)**: 롯데손해보험이 스크린골프 보험 상품을 출시했다는 내용이다. 새로운 틈새 시장을 공략하여 수익성을 개선하려는 노력을 보여준다.</w:t>
      </w:r>
    </w:p>
    <w:p>
      <w:pPr>
        <w:pStyle w:val="ListBullet"/>
      </w:pPr>
      <w:r>
        <w:t>**[뉴스 5] 롯데손해보험, ‘CREW 스크린골프 보험’ 출시... 교보생명-교보교육재단, ‘제9회 책갈피 독서편지 공모전 시상식’ 개최 [보험오늘] (시사오늘)**: 롯데손해보험의 신규 스크린골프 보험 출시 소식과 함께 경쟁사의 사회공헌 활동을 함께 보도하여 보험업계 전반의 동향을 파악할 수 있다.</w:t>
      </w:r>
    </w:p>
    <w:p>
      <w:pPr>
        <w:pStyle w:val="ListBullet"/>
      </w:pPr>
      <w:r>
        <w:t>**[뉴스 6] 롯데손해보험, ‘CREW 스크린골프 보험’ 출시 (뉴스드림)**: 롯데손해보험의 신규 스크린골프 보험 출시를 알리는 기사이다. 해당 상품의 특징과 가입 조건 등에 대한 추가적인 정보 확인이 필요하다.</w:t>
      </w:r>
    </w:p>
    <w:p>
      <w:pPr>
        <w:pStyle w:val="ListBullet"/>
      </w:pPr>
      <w:r>
        <w:t>**[뉴스 7] 롯데손해보험, ‘CREW 스크린골프 보험’ 출시... “홀인원 시 최대 20만원” (한국보험신문)**: 스크린골프 보험의 홀인원 시 보장 금액을 강조하여 소비자들의 관심을 유도하고 있다.</w:t>
      </w:r>
    </w:p>
    <w:p>
      <w:pPr>
        <w:pStyle w:val="ListBullet"/>
      </w:pPr>
      <w:r>
        <w:t>**[뉴스 8] 롯데손해보험, ‘CREW 스크린골프 보험’ 출시 (파이낸셜포스트)**: 롯데손해보험의 스크린골프 보험 출시 사실을 간략하게 전달한다.</w:t>
      </w:r>
    </w:p>
    <w:p>
      <w:pPr>
        <w:pStyle w:val="ListBullet"/>
      </w:pPr>
      <w:r>
        <w:t>**[뉴스 9] 롯데손해보험, ‘크루 스크린골프 보험’ 출시...홀인원 시 기념품 구입·만찬비용 보장 (더밸류뉴스)**: 홀인원 시 기념품 구입 및 만찬 비용 보장 등 스크린골프 보험의 구체적인 보장 내용을 상세히 설명한다.</w:t>
      </w:r>
    </w:p>
    <w:p>
      <w:pPr>
        <w:pStyle w:val="ListBullet"/>
      </w:pPr>
      <w:r>
        <w:t>**[뉴스 10] 롯데손해보험, 1000원대 ‘CREW 스크린골프 보험’ 출시...홀인원 시 최대 20만원 보장 (데일리팝)**: 저렴한 보험료와 높은 보장 금액을 강조하여 가성비를 중시하는 소비자층을 공략하려는 의도를 보여준다.</w:t>
      </w:r>
    </w:p>
    <w:p>
      <w:pPr>
        <w:pStyle w:val="ListBullet"/>
      </w:pPr>
      <w:r>
        <w:t>**[뉴스 11] 롯데손해보험, ‘CREW 스크린골프 보험’ 출시 (라이센스뉴스)**: 롯데손해보험의 스크린골프 보험 출시 소식을 알리는 기사이다.</w:t>
      </w:r>
    </w:p>
    <w:p>
      <w:pPr>
        <w:pStyle w:val="ListBullet"/>
      </w:pPr>
      <w:r>
        <w:t>**[뉴스 12] 롯데손보, 홀인원 시 최대 20만원 보장하는 ‘CREW 스크린골프 보험’ 출시 (브릿지경제)**: 홀인원 시 최대 보장 금액을 강조하여 상품의 매력을 어필하고 있다.</w:t>
      </w:r>
    </w:p>
    <w:p>
      <w:pPr>
        <w:pStyle w:val="ListBullet"/>
      </w:pPr>
      <w:r>
        <w:t>**[뉴스 13] 롯데손보, CREW 스크린골프 보험 출시 (이코노믹데일리)**: 롯데손해보험의 스크린골프 보험 출시 사실을 간략하게 전달한다.</w:t>
      </w:r>
    </w:p>
    <w:p>
      <w:pPr>
        <w:pStyle w:val="ListBullet"/>
      </w:pPr>
      <w:r>
        <w:t>**[뉴스 14] 롯데손보 ‘홀인원에 20만원’ 스크린골프 보험 선봬 (글로벌이코노믹)**: 스크린골프 보험의 특징을 요약적으로 보여준다.</w:t>
      </w:r>
    </w:p>
    <w:p>
      <w:pPr>
        <w:pStyle w:val="ListBullet"/>
      </w:pPr>
      <w:r>
        <w:t>**[뉴스 15] [보험사 풍향계] 롯데손보, ‘CREW 스크린골프 보험’ 출시 外 (에너지경제신문 모바일)**: 보험 업계의 전반적인 동향과 함께 롯데손해보험의 신규 상품 출시 소식을 함께 전달한다.</w:t>
      </w:r>
    </w:p>
    <w:p>
      <w:pPr>
        <w:pStyle w:val="ListBullet"/>
      </w:pPr>
      <w:r>
        <w:t>**[뉴스 16] 종합적 시사점**: 롯데손해보험은 자본 확충의 필요성과 함께, 새로운 상품 출시를 통해 수익성 개선을 위한 노력을 동시에 진행하고 있다. K-ICS 비율 규제 강화에 따른 자본 건전성 확보 노력과 틈새 시장 공략을 위한 상품 개발 전략이 향후 기업 가치에 중요한 영향을 미칠 것으로 예상된다.</w:t>
      </w:r>
    </w:p>
    <w:p>
      <w:pPr>
        <w:pStyle w:val="Heading2"/>
      </w:pPr>
      <w:r>
        <w:rPr>
          <w:b/>
          <w:color w:val="000000"/>
          <w:sz w:val="32"/>
        </w:rPr>
        <w:t>부록: 최근 공시 50건</w:t>
      </w:r>
    </w:p>
    <w:p>
      <w:pPr>
        <w:pStyle w:val="ListBullet"/>
      </w:pPr>
      <w:r>
        <w:t>2026-01-02 [-] 기타경영사항(자율공시)               (rcp_no: 20260102800748)</w:t>
      </w:r>
    </w:p>
    <w:p>
      <w:pPr>
        <w:pStyle w:val="ListBullet"/>
      </w:pPr>
      <w:r>
        <w:t>2025-12-31 [-] 투자판단관련주요경영사항               (rcp_no: 20251231800773)</w:t>
      </w:r>
    </w:p>
    <w:p>
      <w:pPr>
        <w:pStyle w:val="ListBullet"/>
      </w:pPr>
      <w:r>
        <w:t>2025-11-28 [-] [기재정정]분기보고서 (2025.09) (rcp_no: 20251128001857)</w:t>
      </w:r>
    </w:p>
    <w:p>
      <w:pPr>
        <w:pStyle w:val="ListBullet"/>
      </w:pPr>
      <w:r>
        <w:t>2025-11-14 [-] 분기보고서 (2025.09) (rcp_no: 20251114002985)</w:t>
      </w:r>
    </w:p>
    <w:p>
      <w:pPr>
        <w:pStyle w:val="ListBullet"/>
      </w:pPr>
      <w:r>
        <w:t>2025-11-13 [-] [기재정정]투자판단관련주요경영사항               (rcp_no: 20251113800011)</w:t>
      </w:r>
    </w:p>
    <w:p>
      <w:pPr>
        <w:pStyle w:val="ListBullet"/>
      </w:pPr>
      <w:r>
        <w:t>2025-11-11 [-] 투자판단관련주요경영사항               (rcp_no: 20251111800668)</w:t>
      </w:r>
    </w:p>
    <w:p>
      <w:pPr>
        <w:pStyle w:val="ListBullet"/>
      </w:pPr>
      <w:r>
        <w:t>2025-11-07 [-] 상장채권관련기타주요사항               (rcp_no: 20251107700835)</w:t>
      </w:r>
    </w:p>
    <w:p>
      <w:pPr>
        <w:pStyle w:val="ListBullet"/>
      </w:pPr>
      <w:r>
        <w:t>2025-11-07 [-] 채권상장법인불성실공시               (rcp_no: 20251107700868)</w:t>
      </w:r>
    </w:p>
    <w:p>
      <w:pPr>
        <w:pStyle w:val="ListBullet"/>
      </w:pPr>
      <w:r>
        <w:t>2025-11-06 [-] 금융기관경영개선등조치(자율공시)               (rcp_no: 20251106800722)</w:t>
      </w:r>
    </w:p>
    <w:p>
      <w:pPr>
        <w:pStyle w:val="ListBullet"/>
      </w:pPr>
      <w:r>
        <w:t>2025-11-04 [-] 영업(잠정)실적(공정공시)               (rcp_no: 20251104800026)</w:t>
      </w:r>
    </w:p>
    <w:p>
      <w:pPr>
        <w:pStyle w:val="ListBullet"/>
      </w:pPr>
      <w:r>
        <w:t>2025-10-31 [-] 임시주주총회결과               (rcp_no: 20251031800598)</w:t>
      </w:r>
    </w:p>
    <w:p>
      <w:pPr>
        <w:pStyle w:val="ListBullet"/>
      </w:pPr>
      <w:r>
        <w:t>2025-10-31 [-] 사외이사의선임ᆞ해임또는중도퇴임에관한신고 (rcp_no: 20251031000415)</w:t>
      </w:r>
    </w:p>
    <w:p>
      <w:pPr>
        <w:pStyle w:val="ListBullet"/>
      </w:pPr>
      <w:r>
        <w:t>2025-10-16 [-] 의결권대리행사권유참고서류 (rcp_no: 20251016000345)</w:t>
      </w:r>
    </w:p>
    <w:p>
      <w:pPr>
        <w:pStyle w:val="ListBullet"/>
      </w:pPr>
      <w:r>
        <w:t>2025-10-16 [-] 주주총회소집공고 (rcp_no: 20251016000337)</w:t>
      </w:r>
    </w:p>
    <w:p>
      <w:pPr>
        <w:pStyle w:val="ListBullet"/>
      </w:pPr>
      <w:r>
        <w:t>2025-09-30 [-] 주주총회소집결의               (rcp_no: 20250930801001)</w:t>
      </w:r>
    </w:p>
    <w:p>
      <w:pPr>
        <w:pStyle w:val="ListBullet"/>
      </w:pPr>
      <w:r>
        <w:t>2025-09-12 [-] 조회공시요구(풍문또는보도)에대한답변(미확정)               (rcp_no: 20250912800546)</w:t>
      </w:r>
    </w:p>
    <w:p>
      <w:pPr>
        <w:pStyle w:val="ListBullet"/>
      </w:pPr>
      <w:r>
        <w:t>2025-09-09 [-] 주주명부폐쇄기간또는기준일설정               (rcp_no: 20250909800439)</w:t>
      </w:r>
    </w:p>
    <w:p>
      <w:pPr>
        <w:pStyle w:val="ListBullet"/>
      </w:pPr>
      <w:r>
        <w:t>2025-09-01 [-] 사외이사의선임ᆞ해임또는중도퇴임에관한신고 (rcp_no: 20250901000503)</w:t>
      </w:r>
    </w:p>
    <w:p>
      <w:pPr>
        <w:pStyle w:val="ListBullet"/>
      </w:pPr>
      <w:r>
        <w:t>2025-08-29 [-] [기재정정]반기보고서 (2025.06) (rcp_no: 20250829002154)</w:t>
      </w:r>
    </w:p>
    <w:p>
      <w:pPr>
        <w:pStyle w:val="ListBullet"/>
      </w:pPr>
      <w:r>
        <w:t>2025-08-14 [-] [첨부정정]기업지배구조보고서공시(연차보고서)               (rcp_no: 20250814800980)</w:t>
      </w:r>
    </w:p>
    <w:p>
      <w:pPr>
        <w:pStyle w:val="ListBullet"/>
      </w:pPr>
      <w:r>
        <w:t>2025-08-14 [-] 반기보고서 (2025.06) (rcp_no: 20250814003966)</w:t>
      </w:r>
    </w:p>
    <w:p>
      <w:pPr>
        <w:pStyle w:val="ListBullet"/>
      </w:pPr>
      <w:r>
        <w:t>2025-06-13 [-] 조회공시요구(풍문또는보도)에대한답변(미확정)               (rcp_no: 20250613800648)</w:t>
      </w:r>
    </w:p>
    <w:p>
      <w:pPr>
        <w:pStyle w:val="ListBullet"/>
      </w:pPr>
      <w:r>
        <w:t>2025-05-30 [-] [기재정정]분기보고서 (2025.03) (rcp_no: 20250530002514)</w:t>
      </w:r>
    </w:p>
    <w:p>
      <w:pPr>
        <w:pStyle w:val="ListBullet"/>
      </w:pPr>
      <w:r>
        <w:t>2025-05-15 [-] 분기보고서 (2025.03) (rcp_no: 20250515002628)</w:t>
      </w:r>
    </w:p>
    <w:p>
      <w:pPr>
        <w:pStyle w:val="ListBullet"/>
      </w:pPr>
      <w:r>
        <w:t>2025-05-14 [-] 조회공시요구(풍문또는보도)               (rcp_no: 20250514800186)</w:t>
      </w:r>
    </w:p>
    <w:p>
      <w:pPr>
        <w:pStyle w:val="ListBullet"/>
      </w:pPr>
      <w:r>
        <w:t>2025-05-14 [-] 조회공시요구(풍문또는보도)에대한답변(미확정)               (rcp_no: 20250514800451)</w:t>
      </w:r>
    </w:p>
    <w:p>
      <w:pPr>
        <w:pStyle w:val="ListBullet"/>
      </w:pPr>
      <w:r>
        <w:t>2025-04-24 [-] [기재정정]사업보고서 (2024.12) (rcp_no: 20250424000557)</w:t>
      </w:r>
    </w:p>
    <w:p>
      <w:pPr>
        <w:pStyle w:val="ListBullet"/>
      </w:pPr>
      <w:r>
        <w:t>2025-03-31 [-] [기재정정]사업보고서 (2024.12) (rcp_no: 20250331004260)</w:t>
      </w:r>
    </w:p>
    <w:p>
      <w:pPr>
        <w:pStyle w:val="ListBullet"/>
      </w:pPr>
      <w:r>
        <w:t>2025-03-28 [-] 사외이사의선임ᆞ해임또는중도퇴임에관한신고 (rcp_no: 20250328002216)</w:t>
      </w:r>
    </w:p>
    <w:p>
      <w:pPr>
        <w:pStyle w:val="ListBullet"/>
      </w:pPr>
      <w:r>
        <w:t>2025-03-28 [-] 정기주주총회결과               (rcp_no: 20250328803501)</w:t>
      </w:r>
    </w:p>
    <w:p>
      <w:pPr>
        <w:pStyle w:val="ListBullet"/>
      </w:pPr>
      <w:r>
        <w:t>2025-03-20 [-] 감사보고서제출               (rcp_no: 20250320802409)</w:t>
      </w:r>
    </w:p>
    <w:p>
      <w:pPr>
        <w:pStyle w:val="ListBullet"/>
      </w:pPr>
      <w:r>
        <w:t>2025-03-20 [-] 사업보고서 (2024.12) (rcp_no: 20250320001732)</w:t>
      </w:r>
    </w:p>
    <w:p>
      <w:pPr>
        <w:pStyle w:val="ListBullet"/>
      </w:pPr>
      <w:r>
        <w:t>2025-03-11 [-] 주주총회소집공고 (rcp_no: 20250311001217)</w:t>
      </w:r>
    </w:p>
    <w:p>
      <w:pPr>
        <w:pStyle w:val="ListBullet"/>
      </w:pPr>
      <w:r>
        <w:t>2025-03-11 [-] 의결권대리행사권유참고서류 (rcp_no: 20250311001222)</w:t>
      </w:r>
    </w:p>
    <w:p>
      <w:pPr>
        <w:pStyle w:val="ListBullet"/>
      </w:pPr>
      <w:r>
        <w:t>2025-03-11 [-] 주주총회소집결의               (rcp_no: 20250311801859)</w:t>
      </w:r>
    </w:p>
    <w:p>
      <w:pPr>
        <w:pStyle w:val="ListBullet"/>
      </w:pPr>
      <w:r>
        <w:t>2025-03-11 [-] 주주총회집중일개최사유신고               (rcp_no: 20250311801971)</w:t>
      </w:r>
    </w:p>
    <w:p>
      <w:pPr>
        <w:pStyle w:val="ListBullet"/>
      </w:pPr>
      <w:r>
        <w:t>2025-03-07 [-] 기업지배구조보고서공시(연차보고서)               (rcp_no: 20250307800906)</w:t>
      </w:r>
    </w:p>
    <w:p>
      <w:pPr>
        <w:pStyle w:val="ListBullet"/>
      </w:pPr>
      <w:r>
        <w:t>2025-02-13 [-] 매출액또는손익구조30%(대규모법인은15%)이상변경               (rcp_no: 20250213801264)</w:t>
      </w:r>
    </w:p>
    <w:p>
      <w:pPr>
        <w:pStyle w:val="ListBullet"/>
      </w:pPr>
      <w:r>
        <w:t>2025-02-05 [-] 철회신고서 (rcp_no: 20250205000447)</w:t>
      </w:r>
    </w:p>
    <w:p>
      <w:pPr>
        <w:pStyle w:val="ListBullet"/>
      </w:pPr>
      <w:r>
        <w:t>2025-01-31 [-] 증권신고서(채무증권) (rcp_no: 20250131000493)</w:t>
      </w:r>
    </w:p>
    <w:p>
      <w:pPr>
        <w:pStyle w:val="ListBullet"/>
      </w:pPr>
      <w:r>
        <w:t>2024-12-31 [-] [기재정정]분기보고서 (2024.09) (rcp_no: 20241231000408)</w:t>
      </w:r>
    </w:p>
    <w:p>
      <w:pPr>
        <w:pStyle w:val="ListBullet"/>
      </w:pPr>
      <w:r>
        <w:t>2024-11-29 [-] [기재정정]주식등의대량보유상황보고서(일반) (rcp_no: 20241129001972)</w:t>
      </w:r>
    </w:p>
    <w:p>
      <w:pPr>
        <w:pStyle w:val="ListBullet"/>
      </w:pPr>
      <w:r>
        <w:t>2024-11-22 [-] [기재정정]주식등의대량보유상황보고서(일반) (rcp_no: 20241122000373)</w:t>
      </w:r>
    </w:p>
    <w:p>
      <w:pPr>
        <w:pStyle w:val="ListBullet"/>
      </w:pPr>
      <w:r>
        <w:t>2024-11-14 [-] 분기보고서 (2024.09) (rcp_no: 20241114002408)</w:t>
      </w:r>
    </w:p>
    <w:p>
      <w:pPr>
        <w:pStyle w:val="ListBullet"/>
      </w:pPr>
      <w:r>
        <w:t>2024-11-12 [-] 증권발행실적보고서 (rcp_no: 20241112000410)</w:t>
      </w:r>
    </w:p>
    <w:p>
      <w:pPr>
        <w:pStyle w:val="ListBullet"/>
      </w:pPr>
      <w:r>
        <w:t>2024-11-12 [-] 투자설명서 (rcp_no: 20241112000035)</w:t>
      </w:r>
    </w:p>
    <w:p>
      <w:pPr>
        <w:pStyle w:val="ListBullet"/>
      </w:pPr>
      <w:r>
        <w:t>2024-11-06 [-] [기재정정]증권신고서(채무증권) (rcp_no: 20241106000290)</w:t>
      </w:r>
    </w:p>
    <w:p>
      <w:pPr>
        <w:pStyle w:val="ListBullet"/>
      </w:pPr>
      <w:r>
        <w:t>2024-11-06 [-] [발행조건확정]증권신고서(채무증권) (rcp_no: 20241106000294)</w:t>
      </w:r>
    </w:p>
    <w:p>
      <w:pPr>
        <w:pStyle w:val="ListBullet"/>
      </w:pPr>
      <w:r>
        <w:t>2024-11-01 [-] 임시주주총회결과               (rcp_no: 20241101800528)</w:t>
      </w:r>
    </w:p>
    <w:p>
      <w:pPr>
        <w:pStyle w:val="ListBullet"/>
      </w:pPr>
      <w:r>
        <w:t>2024-11-01 [-] 사외이사의선임ᆞ해임또는중도퇴임에관한신고 (rcp_no: 20241101000341)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