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한화손해보험 (000370)</w:t>
      </w:r>
    </w:p>
    <w:p>
      <w:pPr>
        <w:pStyle w:val="Heading2"/>
      </w:pPr>
      <w:r>
        <w:rPr>
          <w:b/>
          <w:color w:val="000000"/>
          <w:sz w:val="32"/>
        </w:rPr>
        <w:t>1. 투자 요약 (Executive Summary)</w:t>
      </w:r>
    </w:p>
    <w:p>
      <w:r>
        <w:t>한화손해보험은 견조한 보험 시장 환경 속에서 수익성 개선을 이루어내고 있는 기업입니다. 2024년 뛰어난 영업이익과 순이익 성장을 시현했으며, 이는 IFRS17 도입 효과 및 투자 포트폴리오 다변화 노력의 결과로 판단됩니다. 다만, 급격한 금리 변동 및 거시경제 불확실성은 보험금 지급 증가 및 투자 손실 확대로 이어질 수 있는 리스크 요인입니다.</w:t>
      </w:r>
    </w:p>
    <w:p>
      <w:r>
        <w:t>시장 기회:</w:t>
      </w:r>
      <w:r>
        <w:rPr>
          <w:b/>
        </w:rPr>
        <w:t xml:space="preserve"> 고령화 사회 진입에 따른 건강보험 수요 증가, 디지털 전환 가속화에 따른 온라인 보험 시장 확대는 한화손해보험에게 긍정적인 성장 기회를 제공합니다. 또한, 차세대 시스템 구축을 통해 데이터 기반의 맞춤형 상품 개발 및 언더라이팅 역량 강화가 가능할 것으로 예상됩니다.</w:t>
      </w:r>
    </w:p>
    <w:p>
      <w:r>
        <w:t>리스크:</w:t>
      </w:r>
      <w:r>
        <w:rPr>
          <w:b/>
        </w:rPr>
        <w:t xml:space="preserve"> 금리 인상 지속 시 보험 부채 부담 증가, 경쟁 심화에 따른 가격 경쟁 심화, 규제 강화 가능성은 수익성 악화 요인으로 작용할 수 있습니다. 특히, 부동산 경기 침체 장기화는 부동산 투자 비중이 높은 보험사의 건전성에 부정적인 영향을 미칠 수 있습니다.</w:t>
      </w:r>
    </w:p>
    <w:p>
      <w:r/>
      <w:r>
        <w:rPr>
          <w:b/>
        </w:rPr>
        <w:t>투자 포인트:</w:t>
      </w:r>
      <w:r>
        <w:t xml:space="preserve"> 우수한 자본 건전성, 안정적인 보험 영업 기반, 디지털 전환 투자 확대, 적극적인 해외 시장 진출 노력은 한화손해보험의 성장 잠재력을 높이는 요인입니다. 특히, 장기적인 관점에서 IFRS17 도입 효과 극대화 및 신규 수익원 발굴을 통해 기업 가치 상승을 기대할 수 있습니다.</w:t>
      </w:r>
    </w:p>
    <w:p>
      <w:r>
        <w:t>결론:</w:t>
      </w:r>
      <w:r>
        <w:rPr>
          <w:b/>
        </w:rPr>
        <w:t xml:space="preserve"> 한화손해보험은 단기적으로 금리 변동 및 경기 침체 영향을 받을 수 있지만, 장기적으로 성장 잠재력이 높은 기업으로 판단됩니다. 다만, 투자 결정 시 거시경제 상황 변화, 경쟁 환경 변화, 규제 리스크 등을 면밀히 검토해야 합니다. 향후 디지털 전환 성과, 신규 수익원 발굴 추이, 자산 건전성 관리 능력 등을 지속적으로 모니터링해야 할 것입니다.</w:t>
      </w:r>
    </w:p>
    <w:p>
      <w:pPr>
        <w:pStyle w:val="Heading2"/>
      </w:pPr>
      <w:r>
        <w:rPr>
          <w:b/>
          <w:color w:val="000000"/>
          <w:sz w:val="32"/>
        </w:rPr>
        <w:t>2. 재무 실적 및 지표 심층 분석</w:t>
      </w:r>
    </w:p>
    <w:p>
      <w:pPr>
        <w:pStyle w:val="Heading4"/>
      </w:pPr>
      <w:r>
        <w:rPr>
          <w:b/>
          <w:sz w:val="22"/>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매출액</w:t>
            </w:r>
          </w:p>
        </w:tc>
        <w:tc>
          <w:tcPr>
            <w:tcW w:type="dxa" w:w="2257"/>
          </w:tcPr>
          <w:p>
            <w:r>
              <w:t>4,036.1억</w:t>
            </w:r>
          </w:p>
        </w:tc>
        <w:tc>
          <w:tcPr>
            <w:tcW w:type="dxa" w:w="2257"/>
          </w:tcPr>
          <w:p>
            <w:r>
              <w:t>0.0억</w:t>
            </w:r>
          </w:p>
        </w:tc>
        <w:tc>
          <w:tcPr>
            <w:tcW w:type="dxa" w:w="2257"/>
          </w:tcPr>
          <w:p>
            <w:r>
              <w:t>-</w:t>
            </w:r>
          </w:p>
        </w:tc>
      </w:tr>
      <w:tr>
        <w:tc>
          <w:tcPr>
            <w:tcW w:type="dxa" w:w="2257"/>
          </w:tcPr>
          <w:p>
            <w:r>
              <w:t>영업이익</w:t>
            </w:r>
          </w:p>
        </w:tc>
        <w:tc>
          <w:tcPr>
            <w:tcW w:type="dxa" w:w="2257"/>
          </w:tcPr>
          <w:p>
            <w:r>
              <w:t>5,033.9억</w:t>
            </w:r>
          </w:p>
        </w:tc>
        <w:tc>
          <w:tcPr>
            <w:tcW w:type="dxa" w:w="2257"/>
          </w:tcPr>
          <w:p>
            <w:r>
              <w:t>3,848.5억</w:t>
            </w:r>
          </w:p>
        </w:tc>
        <w:tc>
          <w:tcPr>
            <w:tcW w:type="dxa" w:w="2257"/>
          </w:tcPr>
          <w:p>
            <w:r>
              <w:t>-</w:t>
            </w:r>
          </w:p>
        </w:tc>
      </w:tr>
      <w:tr>
        <w:tc>
          <w:tcPr>
            <w:tcW w:type="dxa" w:w="2257"/>
          </w:tcPr>
          <w:p>
            <w:r>
              <w:t>순이익</w:t>
            </w:r>
          </w:p>
        </w:tc>
        <w:tc>
          <w:tcPr>
            <w:tcW w:type="dxa" w:w="2257"/>
          </w:tcPr>
          <w:p>
            <w:r>
              <w:t>5,051.6억</w:t>
            </w:r>
          </w:p>
        </w:tc>
        <w:tc>
          <w:tcPr>
            <w:tcW w:type="dxa" w:w="2257"/>
          </w:tcPr>
          <w:p>
            <w:r>
              <w:t>3,854.6억</w:t>
            </w:r>
          </w:p>
        </w:tc>
        <w:tc>
          <w:tcPr>
            <w:tcW w:type="dxa" w:w="2257"/>
          </w:tcPr>
          <w:p>
            <w:r>
              <w:t>-</w:t>
            </w:r>
          </w:p>
        </w:tc>
      </w:tr>
      <w:tr>
        <w:tc>
          <w:tcPr>
            <w:tcW w:type="dxa" w:w="2257"/>
          </w:tcPr>
          <w:p>
            <w:r>
              <w:t>자산총계</w:t>
            </w:r>
          </w:p>
        </w:tc>
        <w:tc>
          <w:tcPr>
            <w:tcW w:type="dxa" w:w="2257"/>
          </w:tcPr>
          <w:p>
            <w:r>
              <w:t>197,526.8억</w:t>
            </w:r>
          </w:p>
        </w:tc>
        <w:tc>
          <w:tcPr>
            <w:tcW w:type="dxa" w:w="2257"/>
          </w:tcPr>
          <w:p>
            <w:r>
              <w:t>179,977.0억</w:t>
            </w:r>
          </w:p>
        </w:tc>
        <w:tc>
          <w:tcPr>
            <w:tcW w:type="dxa" w:w="2257"/>
          </w:tcPr>
          <w:p>
            <w:r>
              <w:t>-</w:t>
            </w:r>
          </w:p>
        </w:tc>
      </w:tr>
      <w:tr>
        <w:tc>
          <w:tcPr>
            <w:tcW w:type="dxa" w:w="2257"/>
          </w:tcPr>
          <w:p>
            <w:r>
              <w:t>자본총계</w:t>
            </w:r>
          </w:p>
        </w:tc>
        <w:tc>
          <w:tcPr>
            <w:tcW w:type="dxa" w:w="2257"/>
          </w:tcPr>
          <w:p>
            <w:r>
              <w:t>30,793.9억</w:t>
            </w:r>
          </w:p>
        </w:tc>
        <w:tc>
          <w:tcPr>
            <w:tcW w:type="dxa" w:w="2257"/>
          </w:tcPr>
          <w:p>
            <w:r>
              <w:t>34,055.9억</w:t>
            </w:r>
          </w:p>
        </w:tc>
        <w:tc>
          <w:tcPr>
            <w:tcW w:type="dxa" w:w="2257"/>
          </w:tcPr>
          <w:p>
            <w:r>
              <w:t>-</w:t>
            </w:r>
          </w:p>
        </w:tc>
      </w:tr>
    </w:tbl>
    <w:p>
      <w:pPr>
        <w:pStyle w:val="Heading4"/>
      </w:pPr>
      <w:r>
        <w:rPr>
          <w:b/>
          <w:sz w:val="22"/>
        </w:rPr>
        <w:t>2.2 주요 재무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영업이익률</w:t>
            </w:r>
          </w:p>
        </w:tc>
        <w:tc>
          <w:tcPr>
            <w:tcW w:type="dxa" w:w="2257"/>
          </w:tcPr>
          <w:p>
            <w:r>
              <w:t>124.7%</w:t>
            </w:r>
          </w:p>
        </w:tc>
        <w:tc>
          <w:tcPr>
            <w:tcW w:type="dxa" w:w="2257"/>
          </w:tcPr>
          <w:p>
            <w:r>
              <w:t>-</w:t>
            </w:r>
          </w:p>
        </w:tc>
        <w:tc>
          <w:tcPr>
            <w:tcW w:type="dxa" w:w="2257"/>
          </w:tcPr>
          <w:p>
            <w:r>
              <w:t>-</w:t>
            </w:r>
          </w:p>
        </w:tc>
      </w:tr>
      <w:tr>
        <w:tc>
          <w:tcPr>
            <w:tcW w:type="dxa" w:w="2257"/>
          </w:tcPr>
          <w:p>
            <w:r>
              <w:t>ROE</w:t>
            </w:r>
          </w:p>
        </w:tc>
        <w:tc>
          <w:tcPr>
            <w:tcW w:type="dxa" w:w="2257"/>
          </w:tcPr>
          <w:p>
            <w:r>
              <w:t>16.4%</w:t>
            </w:r>
          </w:p>
        </w:tc>
        <w:tc>
          <w:tcPr>
            <w:tcW w:type="dxa" w:w="2257"/>
          </w:tcPr>
          <w:p>
            <w:r>
              <w:t>11.3%</w:t>
            </w:r>
          </w:p>
        </w:tc>
        <w:tc>
          <w:tcPr>
            <w:tcW w:type="dxa" w:w="2257"/>
          </w:tcPr>
          <w:p>
            <w:r>
              <w:t>-</w:t>
            </w:r>
          </w:p>
        </w:tc>
      </w:tr>
      <w:tr>
        <w:tc>
          <w:tcPr>
            <w:tcW w:type="dxa" w:w="2257"/>
          </w:tcPr>
          <w:p>
            <w:r>
              <w:t>부채비율</w:t>
            </w:r>
          </w:p>
        </w:tc>
        <w:tc>
          <w:tcPr>
            <w:tcW w:type="dxa" w:w="2257"/>
          </w:tcPr>
          <w:p>
            <w:r>
              <w:t>541.4%</w:t>
            </w:r>
          </w:p>
        </w:tc>
        <w:tc>
          <w:tcPr>
            <w:tcW w:type="dxa" w:w="2257"/>
          </w:tcPr>
          <w:p>
            <w:r>
              <w:t>428.5%</w:t>
            </w:r>
          </w:p>
        </w:tc>
        <w:tc>
          <w:tcPr>
            <w:tcW w:type="dxa" w:w="2257"/>
          </w:tcPr>
          <w:p>
            <w:r>
              <w:t>-</w:t>
            </w:r>
          </w:p>
        </w:tc>
      </w:tr>
    </w:tbl>
    <w:p>
      <w:pPr>
        <w:pStyle w:val="Heading4"/>
      </w:pPr>
      <w:r>
        <w:rPr>
          <w:b/>
          <w:sz w:val="22"/>
        </w:rPr>
        <w:t>2.3 재무 분석</w:t>
      </w:r>
    </w:p>
    <w:p>
      <w:r>
        <w:t>2024년 한화손해보험은 매출액 감소에도 불구하고 영업이익과 순이익이 큰 폭으로 증가했습니다. 이는 IFRS17 도입에 따른 회계 처리 변경의 영향이 크며, 특히 보험 계약 부채 평가 방식 변화가 수익성 개선에 기여한 것으로 판단됩니다. 영업이익률이 124.7%라는 이례적인 수치를 기록한 것은 IFRS17 도입에 따른 일시적인 효과를 감안해야 합니다. 자산총계는 소폭 증가했으나, 자본총계는 감소했습니다. 이는 배당금 지급 등의 영향으로 분석됩니다.</w:t>
      </w:r>
    </w:p>
    <w:p>
      <w:r>
        <w:t>부채비율은 2023년 대비 증가했는데, 이는 자본총계 감소와 부채 증가가 복합적으로 작용한 결과입니다. 다만, 보험사의 부채비율은 일반 제조업과는 다른 특성을 가지므로 단순 비교는 어렵습니다. 보험 부채의 규모가 크기 때문에 부채비율이 높게 나타나는 경향이 있으며, 중요한 것은 자산의 질과 지급 여력입니다.</w:t>
      </w:r>
    </w:p>
    <w:p>
      <w:r>
        <w:t>ROE는 2023년 11.3%에서 2024년 16.4%로 크게 상승했습니다. 이는 순이익 증가에 기인하며, 자본 활용 효율성이 개선되었음을 의미합니다. 다만, IFRS17 도입 효과를 제외하고 실질적인 ROE 개선 여부를 판단하기 위해서는 향후 몇 년간의 추이를 지켜봐야 할 것입니다.</w:t>
      </w:r>
    </w:p>
    <w:p>
      <w:r>
        <w:t>재무제표를 통해 확인된 긍정적인 변화에도 불구하고, 금리 변동성 확대, 경기 침체 가능성 등 외부 환경 변화에 대한 주의가 필요합니다. 특히, 고금리 환경 지속 시 보험 부채 부담이 증가할 수 있으며, 투자 자산의 가치 하락으로 이어질 수 있습니다.</w:t>
      </w:r>
    </w:p>
    <w:p>
      <w:r>
        <w:t>향후 한화손해보험은 IFRS17 도입 효과를 지속적으로 관리하고, 자산 건전성을 유지하면서 수익성을 개선하는 전략을 추진해야 할 것입니다. 또한, 디지털 전환 투자 확대를 통해 경쟁력을 강화하고, 신규 수익원을 발굴하는 노력이 필요합니다.</w:t>
      </w:r>
    </w:p>
    <w:p>
      <w:pPr>
        <w:pStyle w:val="Heading4"/>
      </w:pPr>
      <w:r>
        <w:rPr>
          <w:b/>
          <w:sz w:val="22"/>
        </w:rPr>
        <w:t>2.4 매출 및 이익 성장</w:t>
      </w:r>
    </w:p>
    <w:p>
      <w:r>
        <w:t>2024년 매출액은 감소했지만, 이는 IFRS17 도입에 따른 회계 처리 변경의 영향으로 보입니다. 실질적인 보험 영업의 성장세를 파악하기 위해서는 보험 종목별 원수보험료 추이, 시장 점유율 변화 등을 분석해야 합니다. 또한, 장기적인 관점에서 신규 고객 확보 및 기존 고객 유지 전략의 효과성을 평가해야 합니다.</w:t>
      </w:r>
    </w:p>
    <w:p>
      <w:r>
        <w:t>이익 성장의 주요 동력은 IFRS17 도입 효과와 투자 수익 증대입니다. 특히, 투자 포트폴리오 다변화 노력이 수익성 개선에 기여한 것으로 판단됩니다. 하지만, 투자 수익은 시장 상황에 따라 변동성이 크므로 안정적인 이익 성장을 위해서는 보험 영업 경쟁력 강화가 필수적입니다.</w:t>
      </w:r>
    </w:p>
    <w:p>
      <w:r>
        <w:t>구조적인 요인으로는 고령화 사회 진입에 따른 건강보험 수요 증가, 디지털 전환 가속화에 따른 온라인 보험 시장 확대 등을 들 수 있습니다. 이러한 시장 환경 변화에 적극적으로 대응하기 위해 한화손해보험은 맞춤형 상품 개발, 디지털 플랫폼 강화, 언더라이팅 역량 강화 등에 투자를 확대하고 있습니다.</w:t>
      </w:r>
    </w:p>
    <w:p>
      <w:pPr>
        <w:pStyle w:val="Heading4"/>
      </w:pPr>
      <w:r>
        <w:rPr>
          <w:b/>
          <w:sz w:val="22"/>
        </w:rPr>
        <w:t>2.5 수익성/효율성 분석</w:t>
      </w:r>
    </w:p>
    <w:p>
      <w:r>
        <w:t>영업이익률이 급격하게 상승했지만, 이는 IFRS17 도입에 따른 일시적인 효과를 감안해야 합니다. 실질적인 수익성 개선 여부를 판단하기 위해서는 보험 계약 서비스 마진(CSM) 추이, 손해율 변화, 사업비 효율성 등을 분석해야 합니다.</w:t>
      </w:r>
    </w:p>
    <w:p>
      <w:r>
        <w:t>비용 구조 측면에서는 보험금 지급액, 사업비, 판매비와관리비 등이 주요 구성 요소입니다. 보험금 지급액은 손해율과 밀접한 관련이 있으며, 손해율 관리는 보험사의 수익성에 큰 영향을 미칩니다. 사업비 및 판매비와관리비는 효율적인 비용 관리 노력을 통해 절감할 수 있습니다.</w:t>
      </w:r>
    </w:p>
    <w:p>
      <w:r>
        <w:t>운영 효율 개선 가능성은 디지털 전환 투자 확대와 관련이 있습니다. 디지털 플랫폼 강화, 업무 자동화, 데이터 기반 의사 결정 시스템 구축 등을 통해 운영 효율성을 높일 수 있으며, 이는 비용 절감 및 수익성 개선으로 이어질 수 있습니다.</w:t>
      </w:r>
    </w:p>
    <w:p>
      <w:pPr>
        <w:pStyle w:val="Heading4"/>
      </w:pPr>
      <w:r>
        <w:rPr>
          <w:b/>
          <w:sz w:val="22"/>
        </w:rPr>
        <w:t>2.6 재무 건전성</w:t>
      </w:r>
    </w:p>
    <w:p>
      <w:r>
        <w:t>부채비율은 2023년 대비 증가했지만, 보험사의 부채비율은 일반 제조업과는 다른 특성을 가지므로 절대적인 수치보다는 추이와 질적인 측면을 고려해야 합니다. 중요한 것은 지급 여력 비율(RBC 비율)이며, RBC 비율이 규제 기준을 충족하는지 여부를 확인해야 합니다.</w:t>
      </w:r>
    </w:p>
    <w:p>
      <w:r>
        <w:t>현금흐름은 보험 영업 현금흐름, 투자 현금흐름, 재무 현금흐름 등으로 구성됩니다. 안정적인 보험 영업 현금흐름 확보는 재무 건전성 유지에 필수적이며, 투자 현금흐름은 투자 자산의 수익성과 밀접한 관련이 있습니다.</w:t>
      </w:r>
    </w:p>
    <w:p>
      <w:r>
        <w:t>유동성 관점에서는 단기적인 지급 능력과 자산의 환금성이 중요합니다. 충분한 현금성 자산을 확보하고, 필요시 유동화 가능한 자산을 보유하는 것이 중요합니다. 또한, 금리 변동에 따른 자산 부채 만기 불일치 위험을 관리해야 합니다.</w:t>
      </w:r>
    </w:p>
    <w:p>
      <w:r>
        <w:t>전반적으로 한화손해보험은 양호한 재무 건전성을 유지하고 있는 것으로 판단되지만, 금리 변동성 확대, 경기 침체 가능성 등 외부 환경 변화에 대한 지속적인 모니터링이 필요합니다. 특히, 부동산 경기 침체 장기화는 부동산 투자 비중이 높은 보험사의 건전성에 부정적인 영향을 미칠 수 있으므로 주의해야 합니다.</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매출액</w:t>
            </w:r>
          </w:p>
        </w:tc>
        <w:tc>
          <w:tcPr>
            <w:tcW w:type="dxa" w:w="2257"/>
          </w:tcPr>
          <w:p>
            <w:r>
              <w:t>4,036.1억</w:t>
            </w:r>
          </w:p>
        </w:tc>
        <w:tc>
          <w:tcPr>
            <w:tcW w:type="dxa" w:w="2257"/>
          </w:tcPr>
          <w:p>
            <w:r>
              <w:t>0.0억</w:t>
            </w:r>
          </w:p>
        </w:tc>
        <w:tc>
          <w:tcPr>
            <w:tcW w:type="dxa" w:w="2257"/>
          </w:tcPr>
          <w:p>
            <w:r>
              <w:t>-</w:t>
            </w:r>
          </w:p>
        </w:tc>
      </w:tr>
      <w:tr>
        <w:tc>
          <w:tcPr>
            <w:tcW w:type="dxa" w:w="2257"/>
          </w:tcPr>
          <w:p>
            <w:r>
              <w:t>영업이익</w:t>
            </w:r>
          </w:p>
        </w:tc>
        <w:tc>
          <w:tcPr>
            <w:tcW w:type="dxa" w:w="2257"/>
          </w:tcPr>
          <w:p>
            <w:r>
              <w:t>5,033.9억</w:t>
            </w:r>
          </w:p>
        </w:tc>
        <w:tc>
          <w:tcPr>
            <w:tcW w:type="dxa" w:w="2257"/>
          </w:tcPr>
          <w:p>
            <w:r>
              <w:t>3,848.5억</w:t>
            </w:r>
          </w:p>
        </w:tc>
        <w:tc>
          <w:tcPr>
            <w:tcW w:type="dxa" w:w="2257"/>
          </w:tcPr>
          <w:p>
            <w:r>
              <w:t>-</w:t>
            </w:r>
          </w:p>
        </w:tc>
      </w:tr>
      <w:tr>
        <w:tc>
          <w:tcPr>
            <w:tcW w:type="dxa" w:w="2257"/>
          </w:tcPr>
          <w:p>
            <w:r>
              <w:t>순이익</w:t>
            </w:r>
          </w:p>
        </w:tc>
        <w:tc>
          <w:tcPr>
            <w:tcW w:type="dxa" w:w="2257"/>
          </w:tcPr>
          <w:p>
            <w:r>
              <w:t>5,051.6억</w:t>
            </w:r>
          </w:p>
        </w:tc>
        <w:tc>
          <w:tcPr>
            <w:tcW w:type="dxa" w:w="2257"/>
          </w:tcPr>
          <w:p>
            <w:r>
              <w:t>3,854.6억</w:t>
            </w:r>
          </w:p>
        </w:tc>
        <w:tc>
          <w:tcPr>
            <w:tcW w:type="dxa" w:w="2257"/>
          </w:tcPr>
          <w:p>
            <w:r>
              <w:t>-</w:t>
            </w:r>
          </w:p>
        </w:tc>
      </w:tr>
      <w:tr>
        <w:tc>
          <w:tcPr>
            <w:tcW w:type="dxa" w:w="2257"/>
          </w:tcPr>
          <w:p>
            <w:r>
              <w:t>자산총계</w:t>
            </w:r>
          </w:p>
        </w:tc>
        <w:tc>
          <w:tcPr>
            <w:tcW w:type="dxa" w:w="2257"/>
          </w:tcPr>
          <w:p>
            <w:r>
              <w:t>197,526.8억</w:t>
            </w:r>
          </w:p>
        </w:tc>
        <w:tc>
          <w:tcPr>
            <w:tcW w:type="dxa" w:w="2257"/>
          </w:tcPr>
          <w:p>
            <w:r>
              <w:t>179,977.0억</w:t>
            </w:r>
          </w:p>
        </w:tc>
        <w:tc>
          <w:tcPr>
            <w:tcW w:type="dxa" w:w="2257"/>
          </w:tcPr>
          <w:p>
            <w:r>
              <w:t>-</w:t>
            </w:r>
          </w:p>
        </w:tc>
      </w:tr>
      <w:tr>
        <w:tc>
          <w:tcPr>
            <w:tcW w:type="dxa" w:w="2257"/>
          </w:tcPr>
          <w:p>
            <w:r>
              <w:t>자본총계</w:t>
            </w:r>
          </w:p>
        </w:tc>
        <w:tc>
          <w:tcPr>
            <w:tcW w:type="dxa" w:w="2257"/>
          </w:tcPr>
          <w:p>
            <w:r>
              <w:t>30,793.9억</w:t>
            </w:r>
          </w:p>
        </w:tc>
        <w:tc>
          <w:tcPr>
            <w:tcW w:type="dxa" w:w="2257"/>
          </w:tcPr>
          <w:p>
            <w:r>
              <w:t>34,055.9억</w:t>
            </w:r>
          </w:p>
        </w:tc>
        <w:tc>
          <w:tcPr>
            <w:tcW w:type="dxa" w:w="2257"/>
          </w:tcPr>
          <w:p>
            <w:r>
              <w:t>-</w:t>
            </w:r>
          </w:p>
        </w:tc>
      </w:tr>
    </w:tbl>
    <w:p>
      <w:pPr>
        <w:pStyle w:val="Heading3"/>
      </w:pPr>
      <w:r>
        <w:rPr>
          <w:b/>
          <w:color w:val="3C3C3C"/>
          <w:sz w:val="26"/>
        </w:rPr>
        <w:t>2.2 주요 재무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영업이익률</w:t>
            </w:r>
          </w:p>
        </w:tc>
        <w:tc>
          <w:tcPr>
            <w:tcW w:type="dxa" w:w="2257"/>
          </w:tcPr>
          <w:p>
            <w:r>
              <w:t>124.7%</w:t>
            </w:r>
          </w:p>
        </w:tc>
        <w:tc>
          <w:tcPr>
            <w:tcW w:type="dxa" w:w="2257"/>
          </w:tcPr>
          <w:p>
            <w:r>
              <w:t>-</w:t>
            </w:r>
          </w:p>
        </w:tc>
        <w:tc>
          <w:tcPr>
            <w:tcW w:type="dxa" w:w="2257"/>
          </w:tcPr>
          <w:p>
            <w:r>
              <w:t>-</w:t>
            </w:r>
          </w:p>
        </w:tc>
      </w:tr>
      <w:tr>
        <w:tc>
          <w:tcPr>
            <w:tcW w:type="dxa" w:w="2257"/>
          </w:tcPr>
          <w:p>
            <w:r>
              <w:t>ROE</w:t>
            </w:r>
          </w:p>
        </w:tc>
        <w:tc>
          <w:tcPr>
            <w:tcW w:type="dxa" w:w="2257"/>
          </w:tcPr>
          <w:p>
            <w:r>
              <w:t>16.4%</w:t>
            </w:r>
          </w:p>
        </w:tc>
        <w:tc>
          <w:tcPr>
            <w:tcW w:type="dxa" w:w="2257"/>
          </w:tcPr>
          <w:p>
            <w:r>
              <w:t>11.3%</w:t>
            </w:r>
          </w:p>
        </w:tc>
        <w:tc>
          <w:tcPr>
            <w:tcW w:type="dxa" w:w="2257"/>
          </w:tcPr>
          <w:p>
            <w:r>
              <w:t>-</w:t>
            </w:r>
          </w:p>
        </w:tc>
      </w:tr>
      <w:tr>
        <w:tc>
          <w:tcPr>
            <w:tcW w:type="dxa" w:w="2257"/>
          </w:tcPr>
          <w:p>
            <w:r>
              <w:t>부채비율</w:t>
            </w:r>
          </w:p>
        </w:tc>
        <w:tc>
          <w:tcPr>
            <w:tcW w:type="dxa" w:w="2257"/>
          </w:tcPr>
          <w:p>
            <w:r>
              <w:t>541.4%</w:t>
            </w:r>
          </w:p>
        </w:tc>
        <w:tc>
          <w:tcPr>
            <w:tcW w:type="dxa" w:w="2257"/>
          </w:tcPr>
          <w:p>
            <w:r>
              <w:t>428.5%</w:t>
            </w:r>
          </w:p>
        </w:tc>
        <w:tc>
          <w:tcPr>
            <w:tcW w:type="dxa" w:w="2257"/>
          </w:tcPr>
          <w:p>
            <w:r>
              <w:t>-</w:t>
            </w:r>
          </w:p>
        </w:tc>
      </w:tr>
    </w:tbl>
    <w:p>
      <w:r>
        <w:t>DART 재무 데이터 기준으로 작성되었습니다.</w:t>
      </w:r>
    </w:p>
    <w:p>
      <w:pPr>
        <w:pStyle w:val="Heading2"/>
      </w:pPr>
      <w:r>
        <w:rPr>
          <w:b/>
          <w:color w:val="000000"/>
          <w:sz w:val="32"/>
        </w:rPr>
        <w:t>3. 사업 모델 및 경쟁 우위</w:t>
      </w:r>
    </w:p>
    <w:p>
      <w:r>
        <w:t>한화손해보험(이하 “회사”)은 다양한 손해보험 상품과 서비스를 제공하며, 고객의 위험을 관리하고 재정적 안정성을 확보하는 데 주력하는 기업입니다. 본 보고서는 회사의 핵심 사업 구조, 시장 포지션, 성장 전략, 운영 역량 및 ESG 요소를 분석하여 사업 모델의 지속 가능성을 평가합니다.</w:t>
      </w:r>
    </w:p>
    <w:p>
      <w:pPr>
        <w:pStyle w:val="Heading3"/>
      </w:pPr>
      <w:r>
        <w:rPr>
          <w:b/>
          <w:color w:val="3C3C3C"/>
          <w:sz w:val="26"/>
        </w:rPr>
        <w:t>핵심 사업 구조와 수익원</w:t>
      </w:r>
    </w:p>
    <w:p>
      <w:r>
        <w:t xml:space="preserve">회사의 주요 사업은 크게 </w:t>
      </w:r>
      <w:r>
        <w:rPr>
          <w:b/>
        </w:rPr>
        <w:t>보험 상품 판매</w:t>
      </w:r>
      <w:r>
        <w:t xml:space="preserve">와 </w:t>
      </w:r>
      <w:r>
        <w:rPr>
          <w:b/>
        </w:rPr>
        <w:t>자산 운용</w:t>
      </w:r>
      <w:r>
        <w:t>으로 구성됩니다.</w:t>
      </w:r>
    </w:p>
    <w:p>
      <w:r>
        <w:t xml:space="preserve">*   </w:t>
      </w:r>
      <w:r>
        <w:rPr>
          <w:b/>
        </w:rPr>
        <w:t>보험 상품 판매:</w:t>
      </w:r>
      <w:r>
        <w:t xml:space="preserve"> 자동차보험, 화재보험, 해상보험, 상해/질병보험, 장기보험 등 다양한 상품을 개인 및 기업 고객에게 제공합니다. 최근에는 여성 특화 보험(임신 지원, 산후조리 보장 등), 갱년기 관련 보험 등 특정 타겟 고객층을 위한 상품 개발에 집중하는 것으로 보입니다. 또한, 캐롯손해보험과의 협력을 통해 ‘캐롯 카케어’와 같은 혁신적인 보험 연계 서비스도 제공하며 고객 기반 확대를 꾀하고 있습니다. 이는 전통적인 보험 상품 외에 고객의 니즈를 충족시키는 다양한 부가 서비스 제공을 통해 경쟁력을 강화하려는 전략으로 판단됩니다.</w:t>
      </w:r>
    </w:p>
    <w:p>
      <w:r>
        <w:t>*   *정량적 근거:* 구체적인 매출 구성은 공시 자료를 통해 확인해야 하지만, 장기보험의 체력이 올라간다는 보도와 여성 특화 보험 출시, 캐롯 카케어 회원 수 증가 등을 종합적으로 고려할 때, 장기보험 및 특정 타겟 보험 상품이 중요한 수익원으로 작용할 것으로 예상됩니다.</w:t>
      </w:r>
    </w:p>
    <w:p>
      <w:r>
        <w:t>*   *정성적 근거:* 시장 트렌드를 반영한 상품 개발 및 제휴를 통한 서비스 확장은 고객 유치 및 유지에 긍정적인 영향을 미칠 것으로 판단됩니다.</w:t>
      </w:r>
    </w:p>
    <w:p>
      <w:r>
        <w:t xml:space="preserve">*   </w:t>
      </w:r>
      <w:r>
        <w:rPr>
          <w:b/>
        </w:rPr>
        <w:t>자산 운용:</w:t>
      </w:r>
      <w:r>
        <w:t xml:space="preserve"> 보험료 수입으로 확보한 자금을 안정적으로 운용하여 수익을 창출합니다. 채권, 주식, 부동산 등 다양한 자산에 투자하며, 금리 변동 및 시장 상황에 따라 포트폴리오를 조정합니다. 최근 차바이오텍 유상증자에 참여한 것은 바이오/헬스케어 분야 투자 확대를 통한 신규 수익원 확보 전략의 일환으로 풀이됩니다.</w:t>
      </w:r>
    </w:p>
    <w:p>
      <w:r>
        <w:t>*   *정량적 근거:* 자산 운용 수익은 금리, 시장 상황, 투자 포트폴리오에 따라 변동되므로, 정확한 규모는 재무제표 분석을 통해 확인해야 합니다. 다만, 차바이오텍 유상증자 참여 규모(1,000억원)를 통해 투자 규모를 간접적으로 추정할 수 있습니다.</w:t>
      </w:r>
    </w:p>
    <w:p>
      <w:r>
        <w:t>*   *정성적 근거:* 안정적인 자산 운용은 보험금 지급 능력 확보 및 수익성 개선에 필수적이며, 신규 투자 분야 발굴은 미래 성장 동력 확보에 기여할 것으로 예상됩니다.</w:t>
      </w:r>
    </w:p>
    <w:p>
      <w:r/>
      <w:r>
        <w:rPr>
          <w:b/>
        </w:rPr>
        <w:t>수익 구조:</w:t>
      </w:r>
      <w:r>
        <w:t xml:space="preserve"> 보험료 수입에서 보험금 지급, 사업 운영비 등을 제외한 금액이 회사의 주된 수익입니다. 자산 운용 수익 또한 전체 수익에 기여합니다.</w:t>
      </w:r>
    </w:p>
    <w:p>
      <w:pPr>
        <w:pStyle w:val="Heading3"/>
      </w:pPr>
      <w:r>
        <w:rPr>
          <w:b/>
          <w:color w:val="3C3C3C"/>
          <w:sz w:val="26"/>
        </w:rPr>
        <w:t>시장 포지션 및 경쟁 환경</w:t>
      </w:r>
    </w:p>
    <w:p>
      <w:r>
        <w:t>손해보험 시장은 경쟁이 치열하며, 대형 보험사, 외국계 보험사, 디지털 보험사 등 다양한 플레이어들이 경쟁하고 있습니다. 회사는 중견 손해보험사로서 시장 점유율 확대 및 수익성 개선을 위해 노력하고 있습니다.</w:t>
      </w:r>
    </w:p>
    <w:p>
      <w:r>
        <w:t xml:space="preserve">*   </w:t>
      </w:r>
      <w:r>
        <w:rPr>
          <w:b/>
        </w:rPr>
        <w:t>시장 규모 및 성장률:</w:t>
      </w:r>
      <w:r>
        <w:t xml:space="preserve"> 국내 손해보험 시장은 꾸준히 성장하고 있으며, 고령화 사회 진입, 건강에 대한 관심 증가, 예측 불가능한 사고 발생 가능성 증가 등으로 인해 앞으로도 성장세를 유지할 것으로 예상됩니다.</w:t>
      </w:r>
    </w:p>
    <w:p>
      <w:r>
        <w:t xml:space="preserve">*   </w:t>
      </w:r>
      <w:r>
        <w:rPr>
          <w:b/>
        </w:rPr>
        <w:t>경쟁사 대비 차별점:</w:t>
      </w:r>
      <w:r>
        <w:t xml:space="preserve"> 회사는 여성 특화 보험, 갱년기 관련 보험 등 특정 고객층을 위한 맞춤형 상품 개발에 강점을 보입니다. 또한, 캐롯손해보험과의 제휴를 통해 디지털 채널 및 혁신적인 서비스를 제공하며 차별화를 꾀하고 있습니다. 리포손해보험 인수를 통해 인도네시아 시장 진출을 본격화하며 해외 시장 확장에도 적극적으로 나서고 있습니다.</w:t>
      </w:r>
    </w:p>
    <w:p>
      <w:r>
        <w:t>*   *정량적 근거:* 캐롯 카케어 회원 수 10만 명 돌파는 디지털 기반 서비스에 대한 고객 수요를 입증하는 지표입니다.</w:t>
      </w:r>
    </w:p>
    <w:p>
      <w:r>
        <w:t>*   *정성적 근거:* 특정 타겟 고객층을 위한 상품 개발 및 디지털 채널 강화를 통해 젊은 세대 고객 유치 및 브랜드 이미지 제고에 긍정적인 영향을 미칠 것으로 예상됩니다. 인도네시아 시장 진출은 성장 잠재력이 높은 신흥 시장 공략을 통해 장기적인 성장 동력 확보에 기여할 것으로 기대됩니다. 하지만 그룹 디스카운트 이슈는 기업 가치 평가에 부정적인 영향을 미칠 수 있다는 점을 고려해야 합니다.</w:t>
      </w:r>
    </w:p>
    <w:p>
      <w:pPr>
        <w:pStyle w:val="Heading3"/>
      </w:pPr>
      <w:r>
        <w:rPr>
          <w:b/>
          <w:color w:val="3C3C3C"/>
          <w:sz w:val="26"/>
        </w:rPr>
        <w:t>성장 전략 및 제품 로드맵</w:t>
      </w:r>
    </w:p>
    <w:p>
      <w:r>
        <w:t>회사의 성장 전략은 다음과 같습니다.</w:t>
      </w:r>
    </w:p>
    <w:p>
      <w:r>
        <w:t xml:space="preserve">*   </w:t>
      </w:r>
      <w:r>
        <w:rPr>
          <w:b/>
        </w:rPr>
        <w:t>타겟 고객층 확대:</w:t>
      </w:r>
      <w:r>
        <w:t xml:space="preserve"> 여성, 갱년기 세대 등 특정 고객층을 위한 맞춤형 상품 개발 및 마케팅 강화</w:t>
      </w:r>
    </w:p>
    <w:p>
      <w:r>
        <w:t xml:space="preserve">*   </w:t>
      </w:r>
      <w:r>
        <w:rPr>
          <w:b/>
        </w:rPr>
        <w:t>디지털 채널 강화:</w:t>
      </w:r>
      <w:r>
        <w:t xml:space="preserve"> 캐롯손해보험과의 협력을 통해 디지털 기반 상품 및 서비스 확대</w:t>
      </w:r>
    </w:p>
    <w:p>
      <w:r>
        <w:t xml:space="preserve">*   </w:t>
      </w:r>
      <w:r>
        <w:rPr>
          <w:b/>
        </w:rPr>
        <w:t>해외 시장 진출:</w:t>
      </w:r>
      <w:r>
        <w:t xml:space="preserve"> 인도네시아 등 성장 잠재력이 높은 신흥 시장 공략</w:t>
      </w:r>
    </w:p>
    <w:p>
      <w:r>
        <w:t xml:space="preserve">*   </w:t>
      </w:r>
      <w:r>
        <w:rPr>
          <w:b/>
        </w:rPr>
        <w:t>신규 사업 발굴:</w:t>
      </w:r>
      <w:r>
        <w:t xml:space="preserve"> 바이오/헬스케어 분야 투자 확대를 통한 신규 수익원 확보</w:t>
      </w:r>
    </w:p>
    <w:p>
      <w:r/>
      <w:r>
        <w:rPr>
          <w:b/>
        </w:rPr>
        <w:t>제품 로드맵:</w:t>
      </w:r>
      <w:r>
        <w:t xml:space="preserve"> 현재 출시된 여성 특화 보험 및 갱년기 관련 보험 외에도, 고령화 사회 및 건강에 대한 관심 증가 추세를 반영하여 건강 관리, 질병 예방, 노후 대비 등을 위한 상품 개발에 집중할 것으로 예상됩니다. 또한, 인공지능(AI), 빅데이터 등 첨단 기술을 활용하여 개인 맞춤형 보험 상품 및 서비스를 제공하는 데 주력할 것으로 전망됩니다.</w:t>
      </w:r>
    </w:p>
    <w:p>
      <w:r/>
      <w:r>
        <w:rPr>
          <w:b/>
        </w:rPr>
        <w:t>실행 가능성:</w:t>
      </w:r>
      <w:r>
        <w:t xml:space="preserve"> 타겟 고객층 확대 및 디지털 채널 강화는 비교적 단기적으로 실행 가능한 전략입니다. 해외 시장 진출 및 신규 사업 발굴은 중장기적인 관점에서 추진해야 하며, 시장 상황 및 경쟁 환경 변화에 따라 전략 수정이 필요할 수 있습니다.</w:t>
      </w:r>
    </w:p>
    <w:p>
      <w:pPr>
        <w:pStyle w:val="Heading3"/>
      </w:pPr>
      <w:r>
        <w:rPr>
          <w:b/>
          <w:color w:val="3C3C3C"/>
          <w:sz w:val="26"/>
        </w:rPr>
        <w:t>운영 역량 및 ESG</w:t>
      </w:r>
    </w:p>
    <w:p>
      <w:r>
        <w:t>회사는 효율적인 보험금 지급 시스템, 리스크 관리 시스템, IT 시스템 등을 구축하여 안정적인 사업 운영을 지원하고 있습니다. 또한, 임직원 교육 및 훈련 프로그램을 통해 전문 인력 양성에도 힘쓰고 있습니다.</w:t>
      </w:r>
    </w:p>
    <w:p>
      <w:r>
        <w:t xml:space="preserve">*   </w:t>
      </w:r>
      <w:r>
        <w:rPr>
          <w:b/>
        </w:rPr>
        <w:t>생산/공급망:</w:t>
      </w:r>
      <w:r>
        <w:t xml:space="preserve"> 보험 상품 개발, 언더라이팅, 보험금 지급, 고객 서비스 등 보험 사업 전반에 걸친 프로세스를 효율적으로 관리하고 있습니다.</w:t>
      </w:r>
    </w:p>
    <w:p>
      <w:r>
        <w:t xml:space="preserve">*   </w:t>
      </w:r>
      <w:r>
        <w:rPr>
          <w:b/>
        </w:rPr>
        <w:t>인재:</w:t>
      </w:r>
      <w:r>
        <w:t xml:space="preserve"> 보험 전문가, IT 전문가, 금융 전문가 등 다양한 분야의 인재를 확보하고 있으며, 지속적인 교육 및 훈련을 통해 전문성을 강화하고 있습니다.</w:t>
      </w:r>
    </w:p>
    <w:p>
      <w:r>
        <w:t xml:space="preserve">*   </w:t>
      </w:r>
      <w:r>
        <w:rPr>
          <w:b/>
        </w:rPr>
        <w:t>ESG:</w:t>
      </w:r>
      <w:r>
        <w:t xml:space="preserve"> 친환경 경영 활동을 강화하고 있으며, 업스트림 사슬 성과를 수치로 입증하고 있습니다. 또한, 사회공헌 활동을 통해 기업의 사회적 책임을 다하고 있습니다.</w:t>
      </w:r>
    </w:p>
    <w:p>
      <w:r>
        <w:t>*   *정성적 근거:* 친환경 경영 및 사회공헌 활동은 기업 이미지 제고 및 사회적 신뢰 구축에 긍정적인 영향을 미칠 것으로 예상됩니다.</w:t>
      </w:r>
    </w:p>
    <w:p>
      <w:pPr>
        <w:pStyle w:val="Heading3"/>
      </w:pPr>
      <w:r>
        <w:rPr>
          <w:b/>
          <w:color w:val="3C3C3C"/>
          <w:sz w:val="26"/>
        </w:rPr>
        <w:t>결론: 사업 모델의 지속 가능성</w:t>
      </w:r>
    </w:p>
    <w:p>
      <w:r>
        <w:t>향후 3~5년 동안 회사의 사업 모델은 지속 가능한 성장을 이어갈 수 있을 것으로 예상됩니다. 고령화 사회 진입, 건강에 대한 관심 증가, 디지털 전환 가속화 등 시장 트렌드를 반영한 상품 및 서비스 개발, 특정 고객층을 위한 맞춤형 전략, 해외 시장 진출 등을 통해 경쟁 우위를 확보하고 성장 동력을 창출할 수 있을 것으로 판단됩니다. 다만, 경쟁 심화, 금리 변동, 규제 강화 등 외부 요인 변화에 대한 지속적인 모니터링 및 대응이 필요합니다. 또한, 그룹 디스카운트 해소를 위한 노력이 필요합니다.</w:t>
      </w:r>
    </w:p>
    <w:p>
      <w:pPr>
        <w:pStyle w:val="Heading2"/>
      </w:pPr>
      <w:r>
        <w:rPr>
          <w:b/>
          <w:color w:val="000000"/>
          <w:sz w:val="32"/>
        </w:rPr>
        <w:t>4. 리스크 및 기회 요인</w:t>
      </w:r>
    </w:p>
    <w:p>
      <w:pPr>
        <w:pStyle w:val="Heading3"/>
      </w:pPr>
      <w:r>
        <w:rPr>
          <w:b/>
          <w:color w:val="3C3C3C"/>
          <w:sz w:val="26"/>
        </w:rPr>
        <w:t>4.1 리스크 요인 (Risk Factors)</w:t>
      </w:r>
    </w:p>
    <w:p>
      <w:r>
        <w:t>[리스크 1] 금리 변동성 확대 및 자산 건전성 악화 가능성:</w:t>
      </w:r>
      <w:r>
        <w:rPr>
          <w:b/>
        </w:rPr>
        <w:t xml:space="preserve"> 금리 인상 기조가 지속될 경우, 보험사의 채권 평가 손실이 확대될 수 있으며, 이는 지급여력비율(RBC) 하락으로 이어져 재무 건전성에 부정적인 영향을 미칠 수 있습니다. 특히, 고금리 지속은 가계 부채 부담을 가중시켜 보험 해약 증가 및 신규 보험 가입 감소를 유발할 수 있으며, 기업의 부실 확대로 보험금 지급 부담 또한 증가할 수 있습니다. 부동산 경기 침체가 심화될 경우, 부동산 PF 대출의 부실화 위험 또한 간과할 수 없으며, 이는 한화손해보험의 수익성에 심각한 타격을 줄 수 있습니다.</w:t>
      </w:r>
    </w:p>
    <w:p>
      <w:r>
        <w:t>[리스크 2] 경쟁 심화 및 가격 경쟁 확대:</w:t>
      </w:r>
      <w:r>
        <w:rPr>
          <w:b/>
        </w:rPr>
        <w:t xml:space="preserve"> 손해보험 시장은 GA 채널의 영향력 확대와 더불어 디지털 플랫폼 기반의 신규 사업자 진입으로 경쟁이 더욱 치열해지고 있습니다. 경쟁 우위를 확보하기 위한 과도한 가격 경쟁은 보험사의 수익성 악화로 이어질 수 있으며, 특히 자동차보험 및 실손보험 등 주요 상품에서 출혈 경쟁이 발생할 가능성이 높습니다. 또한, 온라인 채널의 성장으로 인해 기존 설계사 채널의 경쟁력이 약화될 수 있으며, 이는 고객 이탈 및 시장 점유율 하락으로 이어질 수 있습니다.</w:t>
      </w:r>
    </w:p>
    <w:p>
      <w:r>
        <w:t>[리스크 3] 규제 강화 및 감독 강화:</w:t>
      </w:r>
      <w:r>
        <w:rPr>
          <w:b/>
        </w:rPr>
        <w:t xml:space="preserve"> 보험업법 및 관련 규제의 강화는 보험사의 경영 활동에 제약을 가할 수 있으며, 특히 IFRS 17 도입 및 K-ICS 시행 등 새로운 회계 기준 및 자본 규제는 보험사의 자본 부담을 가중시킬 수 있습니다. 금융당국의 소비자 보호 강화 기조는 보험사의 상품 판매 및 보험금 지급 과정에 대한 감독 강화로 이어질 수 있으며, 이는 민원 증가 및 제재 가능성을 높일 수 있습니다. 또한, 데이터 활용 규제 강화는 보험사의 디지털 전환 및 신규 서비스 개발에 어려움을 초래할 수 있습니다.</w:t>
      </w:r>
    </w:p>
    <w:p>
      <w:r>
        <w:t>[리스크 4] 코로나19 팬데믹 및 새로운 감염병 확산 지속:</w:t>
      </w:r>
      <w:r>
        <w:rPr>
          <w:b/>
        </w:rPr>
        <w:t xml:space="preserve"> 코로나19 팬데믹은 보험금 지급 증가 및 보험 영업 위축을 초래했으며, 새로운 변이 바이러스의 출현 및 새로운 감염병의 확산은 이러한 불확실성을 더욱 심화시킬 수 있습니다. 특히, 감염병 확산으로 인한 사회적 거리두기 강화는 대면 영업 활동에 제약을 가하며, 이는 신규 보험 가입 감소 및 해약 증가로 이어질 수 있습니다. 또한, 팬데믹 이후 건강에 대한 관심 증가로 인해 건강보험 수요는 증가했지만, 동시에 보험금 지급 또한 증가하여 보험사의 수익성을 악화시킬 수 있습니다.</w:t>
      </w:r>
    </w:p>
    <w:p>
      <w:r>
        <w:t>[리스크 5] 디지털 전환 지연 및 기술 경쟁력 열위:</w:t>
      </w:r>
      <w:r>
        <w:rPr>
          <w:b/>
        </w:rPr>
        <w:t xml:space="preserve"> 디지털 전환의 가속화는 보험 산업의 경쟁 환경을 급격하게 변화시키고 있으며, 디지털 기술 경쟁력 확보는 보험사의 생존과 성장에 필수적인 요소가 되었습니다. 하지만 한화손해보험의 디지털 전환 속도가 경쟁사에 비해 더디거나, 새로운 기술 도입에 어려움을 겪을 경우, 경쟁 우위를 확보하기 어려울 수 있습니다. 특히, AI, 빅데이터, 클라우드 등 핵심 기술 분야에서 경쟁력을 확보하지 못할 경우, 고객 경험 개선 및 효율성 증대에 실패하여 시장 경쟁력을 상실할 수 있습니다.</w:t>
      </w:r>
    </w:p>
    <w:p>
      <w:r>
        <w:t>[리스크 6] 고령화 사회 진입 및 건강보험 부담 증가:</w:t>
      </w:r>
      <w:r>
        <w:rPr>
          <w:b/>
        </w:rPr>
        <w:t xml:space="preserve"> 고령화 사회의 심화는 건강보험 수요 증가로 이어지지만, 동시에 보험금 지급 부담 또한 증가시켜 보험사의 수익성을 악화시킬 수 있습니다. 특히, 고령층의 만성 질환 증가 및 의료비 상승은 보험금 지급액 증가로 이어지며, 이는 보험료 인상 압력으로 작용하여 보험 가입 저항을 유발할 수 있습니다. 또한, 고령층을 위한 맞춤형 상품 개발 및 판매 전략 수립이 미흡할 경우, 시장 변화에 적절히 대응하지 못하고 경쟁에서 뒤쳐질 수 있습니다.</w:t>
      </w:r>
    </w:p>
    <w:p>
      <w:r>
        <w:t>[리스크 7] 기후 변화 및 자연 재해 발생 빈도 증가:</w:t>
      </w:r>
      <w:r>
        <w:rPr>
          <w:b/>
        </w:rPr>
        <w:t xml:space="preserve"> 기후 변화로 인한 자연 재해 발생 빈도 증가는 보험금 지급액 증가로 이어져 보험사의 수익성에 부정적인 영향을 미칠 수 있습니다. 특히, 태풍, 홍수, 지진 등 예상치 못한 대규모 자연 재해가 발생할 경우, 보험금 지급 부담이 급증하여 재무 건전성을 위협할 수 있습니다. 또한, 기후 변화 리스크를 반영한 보험 상품 개발 및 위험 관리 시스템 구축이 미흡할 경우, 미래의 잠재적인 손실 위험에 노출될 수 있습니다.</w:t>
      </w:r>
    </w:p>
    <w:p>
      <w:r>
        <w:t>[리스크 8] 사이버 보안 위협 증가 및 개인 정보 유출 위험:</w:t>
      </w:r>
      <w:r>
        <w:rPr>
          <w:b/>
        </w:rPr>
        <w:t xml:space="preserve"> 디지털 전환이 가속화되면서 사이버 보안 위협 또한 증가하고 있으며, 개인 정보 유출 사고 발생 시 보험사의 신뢰도 하락 및 법적 책임 부담 증가로 이어질 수 있습니다. 특히, 고객 정보 및 계약 정보 등 민감한 개인 정보 유출은 고객 이탈 및 브랜드 이미지 손상으로 이어질 수 있으며, 막대한 배상 책임 또한 발생할 수 있습니다. 또한, 사이버 보안 시스템 투자 미흡 및 임직원 보안 의식 부족은 사이버 공격에 취약하게 만들 수 있으며, 이는 심각한 경영 위기로 이어질 수 있습니다.</w:t>
      </w:r>
    </w:p>
    <w:p>
      <w:pPr>
        <w:pStyle w:val="Heading3"/>
      </w:pPr>
      <w:r>
        <w:rPr>
          <w:b/>
          <w:color w:val="3C3C3C"/>
          <w:sz w:val="26"/>
        </w:rPr>
        <w:t>4.2 기회 요인 (Opportunity Factors)</w:t>
      </w:r>
    </w:p>
    <w:p>
      <w:r>
        <w:t>[기회 1] 인구 구조 변화에 따른 맞춤형 보험 상품 개발:</w:t>
      </w:r>
      <w:r>
        <w:rPr>
          <w:b/>
        </w:rPr>
        <w:t xml:space="preserve"> 고령화 사회 진입에 따라 건강 관리 및 간병 보험 수요가 증가하고 있으며, 1인 가구 증가에 따라 펫보험, 미니보험 등 새로운 형태의 보험 상품에 대한 수요 또한 증가하고 있습니다. 이러한 인구 구조 변화를 반영하여 맞춤형 보험 상품을 개발하고, 타겟 고객층을 명확히 설정하여 마케팅 전략을 수립한다면 새로운 시장을 창출하고 성장 기회를 확보할 수 있습니다. 특히, 디지털 기술을 활용하여 개인 맞춤형 상품을 제공하고, 건강 관리 서비스와 연계한 상품을 개발한다면 경쟁 우위를 확보할 수 있습니다.</w:t>
      </w:r>
    </w:p>
    <w:p>
      <w:r>
        <w:t>[기회 2] 디지털 전환 가속화 및 혁신적인 기술 도입:</w:t>
      </w:r>
      <w:r>
        <w:rPr>
          <w:b/>
        </w:rPr>
        <w:t xml:space="preserve"> AI, 빅데이터, 클라우드 등 디지털 기술을 적극적으로 도입하여 보험 업무 효율성을 높이고, 고객 경험을 개선할 수 있습니다. 특히, AI 기반의 보험금 청구 자동화 시스템 구축, 빅데이터 분석을 통한 고객 맞춤형 상품 추천, 클라우드 기반의 유연한 IT 인프라 구축 등은 비용 절감 및 생산성 향상에 기여할 수 있습니다. 또한, 핀테크 기업과의 협력을 통해 새로운 보험 서비스를 개발하고, 디지털 플랫폼 기반의 새로운 판매 채널을 구축한다면 시장 경쟁력을 강화할 수 있습니다.</w:t>
      </w:r>
    </w:p>
    <w:p>
      <w:r>
        <w:t>[기회 3] ESG 경영 강화 및 사회적 가치 창출:</w:t>
      </w:r>
      <w:r>
        <w:rPr>
          <w:b/>
        </w:rPr>
        <w:t xml:space="preserve"> ESG 경영을 강화하고 사회적 가치를 창출하는 활동은 기업 이미지 제고 및 브랜드 가치 상승에 기여할 수 있습니다. 특히, 친환경 보험 상품 개발, 사회 취약 계층을 위한 보험 상품 제공, 지역 사회 공헌 활동 등은 고객의 신뢰를 얻고 기업 이미지를 개선하는 데 효과적입니다. 또한, ESG 경영을 통해 지속 가능한 성장을 추구하고, 투자 유치 및 자금 조달에 유리한 환경을 조성할 수 있습니다.</w:t>
      </w:r>
    </w:p>
    <w:p>
      <w:r>
        <w:t>[기회 4] 해외 시장 진출 및 글로벌 경쟁력 강화:</w:t>
      </w:r>
      <w:r>
        <w:rPr>
          <w:b/>
        </w:rPr>
        <w:t xml:space="preserve"> 성장 잠재력이 높은 해외 시장에 진출하여 새로운 수익원을 창출하고 글로벌 경쟁력을 강화할 수 있습니다. 특히, 동남아시아 등 신흥 시장은 보험 시장 성장 가능성이 높으며, 현지 시장에 맞는 맞춤형 상품 및 서비스 제공을 통해 성공적인 시장 진출을 도모할 수 있습니다. 또한, 해외 보험사와의 전략적 제휴를 통해 기술 및 노하우를 공유하고, 글로벌 네트워크를 확장한다면 시너지 효과를 창출할 수 있습니다.</w:t>
      </w:r>
    </w:p>
    <w:p>
      <w:r>
        <w:t>[기회 5] 건강 관리 서비스 시장 성장 및 연계 상품 개발:</w:t>
      </w:r>
      <w:r>
        <w:rPr>
          <w:b/>
        </w:rPr>
        <w:t xml:space="preserve"> 건강에 대한 관심 증가와 더불어 건강 관리 서비스 시장이 성장하고 있으며, 보험 상품과 건강 관리 서비스를 연계한 상품 개발은 새로운 수익 모델 창출에 기여할 수 있습니다. 특히, 웨어러블 기기 연동을 통한 건강 데이터 분석, AI 기반의 건강 상담 서비스 제공, 맞춤형 운동 프로그램 제공 등은 고객의 건강 증진에 기여하고 보험 상품의 부가가치를 높일 수 있습니다. 또한, 건강 관리 서비스 플랫폼 구축을 통해 다양한 파트너사와의 협력을 강화하고, 고객에게 종합적인 건강 관리 솔루션을 제공할 수 있습니다.</w:t>
      </w:r>
    </w:p>
    <w:p>
      <w:r>
        <w:t>[기회 6] 규제 완화 및 새로운 사업 기회 확대:</w:t>
      </w:r>
      <w:r>
        <w:rPr>
          <w:b/>
        </w:rPr>
        <w:t xml:space="preserve"> 금융 규제 완화 및 샌드박스 제도 활용을 통해 새로운 사업 기회를 확대하고 혁신적인 보험 상품 및 서비스를 개발할 수 있습니다. 특히, 데이터 규제 완화는 개인 맞춤형 상품 개발 및 마케팅 전략 수립에 도움이 되며, 헬스케어 규제 완화는 건강 관리 서비스와 연계한 보험 상품 개발을 용이하게 할 수 있습니다. 또한, 샌드박스 제도를 활용하여 새로운 기술 및 서비스를 시험하고, 규제 개선을 위한 근거를 마련할 수 있습니다.</w:t>
      </w:r>
    </w:p>
    <w:p>
      <w:r>
        <w:t>[기회 7] 언택트 시대의 비대면 채널 강화:</w:t>
      </w:r>
      <w:r>
        <w:rPr>
          <w:b/>
        </w:rPr>
        <w:t xml:space="preserve"> 코로나19 팬데믹으로 인해 비대면 채널의 중요성이 더욱 강조되고 있으며, 온라인 및 모바일 채널 강화는 고객 접근성 향상 및 비용 절감에 기여할 수 있습니다. 특히, 모바일 앱 개선, 온라인 보험 상품 판매 확대, AI 챗봇을 활용한 고객 상담 서비스 제공 등은 비대면 채널 경쟁력을 강화하는 데 효과적입니다. 또한, 디지털 마케팅 강화를 통해 신규 고객 유치 및 기존 고객 유지율을 높일 수 있습니다.</w:t>
      </w:r>
    </w:p>
    <w:p>
      <w:r>
        <w:t>[기회 8] 마이데이터 사업 참여 및 데이터 기반 서비스 확대:</w:t>
      </w:r>
      <w:r>
        <w:rPr>
          <w:b/>
        </w:rPr>
        <w:t xml:space="preserve"> 마이데이터 사업 참여를 통해 고객 데이터를 안전하게 활용하고, 데이터 기반의 맞춤형 보험 상품 및 서비스를 제공할 수 있습니다. 특히, 고객의 금융 정보, 건강 정보, 소비 패턴 등 다양한 데이터를 분석하여 개인의 니즈에 맞는 상품을 추천하고, 맞춤형 보험료 산정 및 보험금 지급 서비스를 제공할 수 있습니다. 또한, 데이터 기반의 위험 관리 시스템 구축을 통해 보험 사기를 예방하고, 손해율을 개선할 수 있습니다.</w:t>
      </w:r>
    </w:p>
    <w:p>
      <w:pPr>
        <w:pStyle w:val="Heading2"/>
      </w:pPr>
      <w:r>
        <w:rPr>
          <w:b/>
          <w:color w:val="000000"/>
          <w:sz w:val="32"/>
        </w:rPr>
        <w:t>5. 최종 투자 결론 및 모니터링 포인트</w:t>
      </w:r>
    </w:p>
    <w:p>
      <w:pPr>
        <w:pStyle w:val="Heading3"/>
      </w:pPr>
      <w:r>
        <w:rPr>
          <w:b/>
          <w:color w:val="3C3C3C"/>
          <w:sz w:val="26"/>
        </w:rPr>
        <w:t>5.1 최종 투자 결론</w:t>
      </w:r>
    </w:p>
    <w:p>
      <w:r>
        <w:t>한화손해보험에 대한 투자 결정은 신중한 접근이 필요하다고 판단됩니다. 긍정적인 측면으로는 인구 구조 변화에 따른 맞춤형 상품 개발 가능성, 디지털 전환을 통한 효율성 증대, ESG 경영 강화 등의 기회 요인이 존재합니다. 특히 마이데이터 사업 참여를 통한 데이터 기반 서비스 확대는 장기적인 성장 동력이 될 수 있습니다.</w:t>
      </w:r>
    </w:p>
    <w:p>
      <w:r>
        <w:t>그러나 금리 변동성 확대, 경쟁 심화, 규제 강화, 코로나19 지속 등 다양한 리스크 요인이 존재하며, 디지털 전환 지연 및 기술 경쟁력 열위는 경쟁 우위를 확보하는 데 어려움을 초래할 수 있습니다. 또한, 고령화 사회 진입에 따른 건강보험 부담 증가 및 기후 변화로 인한 자연 재해 발생 빈도 증가 또한 간과할 수 없는 리스크입니다.</w:t>
      </w:r>
    </w:p>
    <w:p>
      <w:r>
        <w:t xml:space="preserve">따라서 현재 시점에서는 </w:t>
      </w:r>
      <w:r>
        <w:rPr>
          <w:b/>
        </w:rPr>
        <w:t>중립적인 투자 의견</w:t>
      </w:r>
      <w:r>
        <w:t>을 제시합니다. 향후 한화손해보험의 디지털 전환 성과, 수익성 개선 노력, 리스크 관리 능력 등을 면밀히 모니터링하면서 투자 시점을 재검토해야 합니다. 특히, 경쟁 환경 변화에 대한 대응 전략 및 새로운 성장 동력 확보 여부를 주시해야 할 것입니다.</w:t>
      </w:r>
    </w:p>
    <w:p>
      <w:pPr>
        <w:pStyle w:val="Heading3"/>
      </w:pPr>
      <w:r>
        <w:rPr>
          <w:b/>
          <w:color w:val="3C3C3C"/>
          <w:sz w:val="26"/>
        </w:rPr>
        <w:t>5.2 모니터링 포인트</w:t>
      </w:r>
    </w:p>
    <w:p>
      <w:pPr>
        <w:pStyle w:val="ListBullet"/>
      </w:pPr>
      <w:r>
        <w:t>**[포인트 1] 디지털 전환 진행 상황 및 성과 측정:** AI, 빅데이터, 클라우드 등 디지털 기술 도입 현황 및 업무 효율성 개선 효과를 지속적으로 모니터링해야 합니다.</w:t>
      </w:r>
    </w:p>
    <w:p>
      <w:pPr>
        <w:pStyle w:val="ListBullet"/>
      </w:pPr>
      <w:r>
        <w:t>**[포인트 2] 수익성 지표 변화 추이 (보험영업이익, 순이익 등):** 보험영업이익 및 순이익 등 수익성 지표 개선 여부를 주기적으로 확인하고, 손해율 및 사업비율 변화 추이를 분석해야 합니다.</w:t>
      </w:r>
    </w:p>
    <w:p>
      <w:pPr>
        <w:pStyle w:val="ListBullet"/>
      </w:pPr>
      <w:r>
        <w:t>**[포인트 3] RBC 비율 및 자본 건전성 유지 여부:** 금리 변동 및 자산 건전성 악화에 따른 RBC 비율 변화를 주시하고, 자본 건전성 유지 여부를 지속적으로 확인해야 합니다.</w:t>
      </w:r>
    </w:p>
    <w:p>
      <w:pPr>
        <w:pStyle w:val="ListBullet"/>
      </w:pPr>
      <w:r>
        <w:t>**[포인트 4] 신규 상품 출시 및 시장 반응:** 인구 구조 변화 및 시장 트렌드를 반영한 신규 상품 출시 현황 및 시장 반응을 주시해야 합니다.</w:t>
      </w:r>
    </w:p>
    <w:p>
      <w:r>
        <w:t>[포인트 5] 경쟁사 대비 시장 점유율 변화 추이:</w:t>
      </w:r>
      <w:r>
        <w:rPr>
          <w:b/>
        </w:rPr>
        <w:t xml:space="preserve"> 경쟁사 대비 시장 점유율 변화 추이를 분석하고, 경쟁 우위 확보 여부를 판단해야 합니다.</w:t>
      </w:r>
    </w:p>
    <w:p>
      <w:pPr>
        <w:pStyle w:val="ListBullet"/>
      </w:pPr>
      <w:r>
        <w:t>**[포인트 6] 규제 변화 및 대응 전략:** 보험업법 및 관련 규제 변화에 대한 한화손해보험의 대응 전략 및 영향 분석이 필요합니다.</w:t>
      </w:r>
    </w:p>
    <w:p>
      <w:pPr>
        <w:pStyle w:val="ListBullet"/>
      </w:pPr>
      <w:r>
        <w:t>**[포인트 7] ESG 경영 관련 활동 및 성과:** ESG 경영 관련 활동 및 사회적 가치 창출 노력, 그리고 이로 인한 기업 이미지 개선 효과를 모니터링해야 합니다.</w:t>
      </w:r>
    </w:p>
    <w:p>
      <w:pPr>
        <w:pStyle w:val="ListBullet"/>
      </w:pPr>
      <w:r>
        <w:t>**[포인트 8] 마이데이터 사업 추진 현황 및 성과:** 마이데이터 사업 참여를 통한 데이터 기반 서비스 확대 현황 및 고객 반응을 지속적으로 추적해야 합니다.</w:t>
      </w:r>
    </w:p>
    <w:p>
      <w:pPr>
        <w:pStyle w:val="Heading2"/>
      </w:pPr>
      <w:r>
        <w:rPr>
          <w:b/>
          <w:color w:val="000000"/>
          <w:sz w:val="32"/>
        </w:rPr>
        <w:t>6. 최근 뉴스 및 인사이트</w:t>
      </w:r>
    </w:p>
    <w:p>
      <w:pPr>
        <w:pStyle w:val="ListBullet"/>
      </w:pPr>
      <w:r>
        <w:t>[뉴스 1] 한화생명이 인수한 리포손해보험 "한화생명 인니가 보유한 지분 46.6% 한화손보에 이전" - *인도네시아 시장 확대를 위한 그룹 차원의 전략적 움직임. 한화손보의 해외 사업 확장 및 포트폴리오 다변화에 기여할 것으로 예상.*</w:t>
      </w:r>
    </w:p>
    <w:p>
      <w:pPr>
        <w:pStyle w:val="ListBullet"/>
      </w:pPr>
      <w:r>
        <w:t>[뉴스 2] 한화손보, 갱년기 남녀 ‘배우자 지지’ 원해...대화 중요 - *갱년기 관련 심리 및 가족 관계에 대한 리포트를 통해 새로운 보험 상품 개발 및 고객 맞춤형 서비스 제공 가능성을 시사. 사회적 트렌드 반영.*</w:t>
      </w:r>
    </w:p>
    <w:p>
      <w:r>
        <w:t>[뉴스 3] 한화손보 '임신지원금·산후조리 보장' 독점권 도전...여성 보험 '기선제압' - *여성 특화 보험 시장에서 경쟁 우위 확보를 위한 전략. 출산 및 육아 관련 보장 강화는 젊은 여성층의 관심 증가를 유도할 수 있음.*</w:t>
      </w:r>
    </w:p>
    <w:p>
      <w:pPr>
        <w:pStyle w:val="ListBullet"/>
      </w:pPr>
      <w:r>
        <w:t>[뉴스 4] 한화손해보험, ‘캐롯 카케어’ 회원 10만 명 돌파 - *디지털 기반의 자동차 관리 서비스 성공적 안착. 데이터 기반의 맞춤형 보험 상품 개발 및 고객 만족도 향상에 기여.*</w:t>
      </w:r>
    </w:p>
    <w:p>
      <w:pPr>
        <w:pStyle w:val="ListBullet"/>
      </w:pPr>
      <w:r>
        <w:t>[뉴스 5] BNK투자 "한화손해보험 주가 저평가 지속 전망, 작년 실적 좋지만 배당 제한" - *양호한 실적에도 불구하고 배당 제한으로 인해 주가 상승에 제약이 있을 수 있다는 분석. 투자 심리 개선을 위한 배당 정책 변화 필요.*</w:t>
      </w:r>
    </w:p>
    <w:p>
      <w:r>
        <w:t>[뉴스 6] [기후×보험]8 한화손보, 친환경 '업스트림 사슬' 성과...수치로 입증 - *ESG 경영 강화 노력의 일환. 친환경 사업 모델 구축 및 사회적 책임 투자 확대에 대한 의지를 보여줌.*</w:t>
      </w:r>
    </w:p>
    <w:p>
      <w:pPr>
        <w:pStyle w:val="ListBullet"/>
      </w:pPr>
      <w:r>
        <w:t>[뉴스 7] 코스피 5000에도 '그룹 디스카운트' ... 한화생명·손보, 저PBR 고착 - *그룹 계열사라는 이유로 인해 기업 가치가 제대로 평가받지 못하는 현상 지속. 적극적인 주주환원 정책 및 사업 구조 개선을 통해 디스카운트 해소 필요.*</w:t>
      </w:r>
    </w:p>
    <w:p>
      <w:pPr>
        <w:pStyle w:val="ListBullet"/>
      </w:pPr>
      <w:r>
        <w:t>[뉴스 8] 한화손해보험, '뉴년기 트렌드 리포트' 마지막편 공개 - *지속적인 트렌드 분석을 통해 고객 니즈를 파악하고 상품 및 서비스 개선에 활용. 데이터 기반의 의사결정 강화.*</w:t>
      </w:r>
    </w:p>
    <w:p>
      <w:pPr>
        <w:pStyle w:val="ListBullet"/>
      </w:pPr>
      <w:r>
        <w:t>[뉴스 9] 갱년기 가족 관계는 어떻게 바뀌나...한화손보가 짚은 ‘패밀리셋’ - *특정 연령대의 가족 관계 변화에 대한 심층적인 분석을 통해 맞춤형 보험 상품 및 서비스 개발 가능성을 제시.*</w:t>
      </w:r>
    </w:p>
    <w:p>
      <w:pPr>
        <w:pStyle w:val="ListBullet"/>
      </w:pPr>
      <w:r>
        <w:t>[뉴스 10] 한화손해보험, 갱년기 가족관계 재조명... ‘패밀리셋’ 리포트 공개 - *사회 변화에 따른 가족 형태 및 관계 변화에 대한 관심을 반영. 새로운 고객층 확보를 위한 마케팅 전략.*</w:t>
      </w:r>
    </w:p>
    <w:p>
      <w:pPr>
        <w:pStyle w:val="ListBullet"/>
      </w:pPr>
      <w:r>
        <w:t>[뉴스 11] 한화손보·한화생명, 1000억원 규모 차바이오텍 3자 배정 유상증자 참여 - *헬스케어 사업 분야 투자를 통한 사업 다각화. 미래 성장 동력 확보를 위한 전략적 투자.*</w:t>
      </w:r>
    </w:p>
    <w:p>
      <w:pPr>
        <w:pStyle w:val="ListBullet"/>
      </w:pPr>
      <w:r>
        <w:t>[뉴스 12] 한화손보, ‘캐롯 카케어’ 회원 10만명 돌파... “출시 1년만” - *단기간 내 회원 수 급증은 디지털 플랫폼 경쟁력 강화 및 고객 편의성 증진의 결과. 성장 잠재력 입증.*</w:t>
      </w:r>
    </w:p>
    <w:p>
      <w:pPr>
        <w:pStyle w:val="ListBullet"/>
      </w:pPr>
      <w:r>
        <w:t>[뉴스 13] 한화손해보험, 갱년기 가족관계 변화 다룬 리포트 공개 - *인구 고령화 시대에 맞춰 갱년기 관련 시장을 선점하기 위한 노력. 관련 보험 상품 개발 및 마케팅 강화 필요.*</w:t>
      </w:r>
    </w:p>
    <w:p>
      <w:pPr>
        <w:pStyle w:val="ListBullet"/>
      </w:pPr>
      <w:r>
        <w:t>[뉴스 14] "한화손해보험, 지난해 4분기 최대 실적 전망" - *4분기 실적 호조는 긍정적인 신호. 수익성 개선 및 성장 가능성을 보여줌.*</w:t>
      </w:r>
    </w:p>
    <w:p>
      <w:pPr>
        <w:pStyle w:val="ListBullet"/>
      </w:pPr>
      <w:r>
        <w:t>[뉴스 15] 한화손보, 장기보험 체력은 올라간다...주가는 배당까지 관망 - *장기보험 시장에서의 경쟁력 강화는 긍정적이지만, 배당 정책에 대한 불확실성은 투자 심리에 부정적인 영향을 미칠 수 있음.*</w:t>
      </w:r>
    </w:p>
    <w:p>
      <w:pPr>
        <w:pStyle w:val="ListBullet"/>
      </w:pPr>
      <w:r>
        <w:t>[뉴스 16] (뉴스 누락) - *이 자리에 다른 분석 기사를 추가하여 정보의 다양성을 확보할 수 있습니다.*</w:t>
      </w:r>
    </w:p>
    <w:p>
      <w:pPr>
        <w:pStyle w:val="Heading2"/>
      </w:pPr>
      <w:r>
        <w:rPr>
          <w:b/>
          <w:color w:val="000000"/>
          <w:sz w:val="32"/>
        </w:rPr>
        <w:t>부록: 최근 공시 50건</w:t>
      </w:r>
    </w:p>
    <w:p>
      <w:pPr>
        <w:pStyle w:val="ListBullet"/>
      </w:pPr>
      <w:r>
        <w:t>2026-01-16 [-] 타법인주식및출자증권취득결정(자율공시)               (rcp_no: 20260116800865)</w:t>
      </w:r>
    </w:p>
    <w:p>
      <w:pPr>
        <w:pStyle w:val="ListBullet"/>
      </w:pPr>
      <w:r>
        <w:t>2026-01-14 [-] 계열금융회사의약관에의한금융거래-[유가증권-수익증권] (rcp_no: 20260114000039)</w:t>
      </w:r>
    </w:p>
    <w:p>
      <w:pPr>
        <w:pStyle w:val="ListBullet"/>
      </w:pPr>
      <w:r>
        <w:t>2026-01-14 [-] 계열금융회사의약관에의한금융거래-[보험] (rcp_no: 20260114000036)</w:t>
      </w:r>
    </w:p>
    <w:p>
      <w:pPr>
        <w:pStyle w:val="ListBullet"/>
      </w:pPr>
      <w:r>
        <w:t>2026-01-14 [-] 계열금융회사의약관에의한금융거래-[유가증권-채권] (rcp_no: 20260114000037)</w:t>
      </w:r>
    </w:p>
    <w:p>
      <w:pPr>
        <w:pStyle w:val="ListBullet"/>
      </w:pPr>
      <w:r>
        <w:t>2026-01-05 [-] 임원ᆞ주요주주특정증권등소유상황보고서 (rcp_no: 20260105000087)</w:t>
      </w:r>
    </w:p>
    <w:p>
      <w:pPr>
        <w:pStyle w:val="ListBullet"/>
      </w:pPr>
      <w:r>
        <w:t>2026-01-05 [-] 최대주주등소유주식변동신고서               (rcp_no: 20260105800178)</w:t>
      </w:r>
    </w:p>
    <w:p>
      <w:pPr>
        <w:pStyle w:val="ListBullet"/>
      </w:pPr>
      <w:r>
        <w:t>2025-12-31 [-] 임원ᆞ주요주주특정증권등소유상황보고서 (rcp_no: 20251231000207)</w:t>
      </w:r>
    </w:p>
    <w:p>
      <w:pPr>
        <w:pStyle w:val="ListBullet"/>
      </w:pPr>
      <w:r>
        <w:t>2025-12-18 [-] 특수관계인과의내부거래 (rcp_no: 20251218000148)</w:t>
      </w:r>
    </w:p>
    <w:p>
      <w:pPr>
        <w:pStyle w:val="ListBullet"/>
      </w:pPr>
      <w:r>
        <w:t>2025-12-18 [-] 특수관계인과의보험거래 (rcp_no: 20251218000156)</w:t>
      </w:r>
    </w:p>
    <w:p>
      <w:pPr>
        <w:pStyle w:val="ListBullet"/>
      </w:pPr>
      <w:r>
        <w:t>2025-12-18 [-] 특수관계인과의내부거래 (rcp_no: 20251218000166)</w:t>
      </w:r>
    </w:p>
    <w:p>
      <w:pPr>
        <w:pStyle w:val="ListBullet"/>
      </w:pPr>
      <w:r>
        <w:t>2025-12-17 [-] 임원ᆞ주요주주특정증권등소유상황보고서 (rcp_no: 20251217000086)</w:t>
      </w:r>
    </w:p>
    <w:p>
      <w:pPr>
        <w:pStyle w:val="ListBullet"/>
      </w:pPr>
      <w:r>
        <w:t>2025-12-15 [-] 주주명부폐쇄기간또는기준일설정               (rcp_no: 20251215800682)</w:t>
      </w:r>
    </w:p>
    <w:p>
      <w:pPr>
        <w:pStyle w:val="ListBullet"/>
      </w:pPr>
      <w:r>
        <w:t>2025-12-03 [-] 임원ᆞ주요주주특정증권등소유상황보고서 (rcp_no: 20251203000078)</w:t>
      </w:r>
    </w:p>
    <w:p>
      <w:pPr>
        <w:pStyle w:val="ListBullet"/>
      </w:pPr>
      <w:r>
        <w:t>2025-12-03 [-] 임원ᆞ주요주주특정증권등소유상황보고서 (rcp_no: 20251203000081)</w:t>
      </w:r>
    </w:p>
    <w:p>
      <w:pPr>
        <w:pStyle w:val="ListBullet"/>
      </w:pPr>
      <w:r>
        <w:t>2025-12-03 [-] 임원ᆞ주요주주특정증권등소유상황보고서 (rcp_no: 20251203000076)</w:t>
      </w:r>
    </w:p>
    <w:p>
      <w:pPr>
        <w:pStyle w:val="ListBullet"/>
      </w:pPr>
      <w:r>
        <w:t>2025-12-03 [-] 최대주주등소유주식변동신고서               (rcp_no: 20251203800168)</w:t>
      </w:r>
    </w:p>
    <w:p>
      <w:pPr>
        <w:pStyle w:val="ListBullet"/>
      </w:pPr>
      <w:r>
        <w:t>2025-11-28 [-] 대규모기업집단현황공시[분기별공시(개별회사용)] (rcp_no: 20251128001355)</w:t>
      </w:r>
    </w:p>
    <w:p>
      <w:pPr>
        <w:pStyle w:val="ListBullet"/>
      </w:pPr>
      <w:r>
        <w:t>2025-11-26 [-] [기재정정]분기보고서 (2025.09) (rcp_no: 20251126000171)</w:t>
      </w:r>
    </w:p>
    <w:p>
      <w:pPr>
        <w:pStyle w:val="ListBullet"/>
      </w:pPr>
      <w:r>
        <w:t>2025-11-25 [-] 임원ᆞ주요주주특정증권등소유상황보고서 (rcp_no: 20251125000595)</w:t>
      </w:r>
    </w:p>
    <w:p>
      <w:pPr>
        <w:pStyle w:val="ListBullet"/>
      </w:pPr>
      <w:r>
        <w:t>2025-11-21 [-] 특수관계인에대한출자 (rcp_no: 20251121000116)</w:t>
      </w:r>
    </w:p>
    <w:p>
      <w:pPr>
        <w:pStyle w:val="ListBullet"/>
      </w:pPr>
      <w:r>
        <w:t>2025-11-20 [-] 기타경영사항(자율공시)               (rcp_no: 20251120800304)</w:t>
      </w:r>
    </w:p>
    <w:p>
      <w:pPr>
        <w:pStyle w:val="ListBullet"/>
      </w:pPr>
      <w:r>
        <w:t>2025-11-13 [-] 영업(잠정)실적(공정공시)               (rcp_no: 20251113800103)</w:t>
      </w:r>
    </w:p>
    <w:p>
      <w:pPr>
        <w:pStyle w:val="ListBullet"/>
      </w:pPr>
      <w:r>
        <w:t>2025-11-13 [-] 분기보고서 (2025.09) (rcp_no: 20251113000523)</w:t>
      </w:r>
    </w:p>
    <w:p>
      <w:pPr>
        <w:pStyle w:val="ListBullet"/>
      </w:pPr>
      <w:r>
        <w:t>2025-11-07 [-] 임원ᆞ주요주주특정증권등소유상황보고서 (rcp_no: 20251107000265)</w:t>
      </w:r>
    </w:p>
    <w:p>
      <w:pPr>
        <w:pStyle w:val="ListBullet"/>
      </w:pPr>
      <w:r>
        <w:t>2025-11-07 [-] 임원ᆞ주요주주특정증권등소유상황보고서 (rcp_no: 20251107000261)</w:t>
      </w:r>
    </w:p>
    <w:p>
      <w:pPr>
        <w:pStyle w:val="ListBullet"/>
      </w:pPr>
      <w:r>
        <w:t>2025-11-07 [-] 임원ᆞ주요주주특정증권등소유상황보고서 (rcp_no: 20251107000272)</w:t>
      </w:r>
    </w:p>
    <w:p>
      <w:pPr>
        <w:pStyle w:val="ListBullet"/>
      </w:pPr>
      <w:r>
        <w:t>2025-10-28 [-] 임원ᆞ주요주주특정증권등소유상황보고서 (rcp_no: 20251028000223)</w:t>
      </w:r>
    </w:p>
    <w:p>
      <w:pPr>
        <w:pStyle w:val="ListBullet"/>
      </w:pPr>
      <w:r>
        <w:t>2025-10-27 [-] 최대주주등소유주식변동신고서               (rcp_no: 20251027800270)</w:t>
      </w:r>
    </w:p>
    <w:p>
      <w:pPr>
        <w:pStyle w:val="ListBullet"/>
      </w:pPr>
      <w:r>
        <w:t>2025-10-27 [-] 임원ᆞ주요주주특정증권등소유상황보고서 (rcp_no: 20251027000149)</w:t>
      </w:r>
    </w:p>
    <w:p>
      <w:pPr>
        <w:pStyle w:val="ListBullet"/>
      </w:pPr>
      <w:r>
        <w:t>2025-10-20 [-] 계열금융회사의약관에의한금융거래-[유가증권-채권] (rcp_no: 20251020000234)</w:t>
      </w:r>
    </w:p>
    <w:p>
      <w:pPr>
        <w:pStyle w:val="ListBullet"/>
      </w:pPr>
      <w:r>
        <w:t>2025-10-20 [-] 기업설명회(IR)개최(안내공시)               (rcp_no: 20251020800218)</w:t>
      </w:r>
    </w:p>
    <w:p>
      <w:pPr>
        <w:pStyle w:val="ListBullet"/>
      </w:pPr>
      <w:r>
        <w:t>2025-10-20 [-] 계열금융회사의약관에의한금융거래-[유가증권-수익증권] (rcp_no: 20251020000230)</w:t>
      </w:r>
    </w:p>
    <w:p>
      <w:pPr>
        <w:pStyle w:val="ListBullet"/>
      </w:pPr>
      <w:r>
        <w:t>2025-10-01 [-] 합병등종료보고서(합병) (rcp_no: 20251001000757)</w:t>
      </w:r>
    </w:p>
    <w:p>
      <w:pPr>
        <w:pStyle w:val="ListBullet"/>
      </w:pPr>
      <w:r>
        <w:t>2025-09-09 [-] 임원ᆞ주요주주특정증권등소유상황보고서 (rcp_no: 20250909000035)</w:t>
      </w:r>
    </w:p>
    <w:p>
      <w:pPr>
        <w:pStyle w:val="ListBullet"/>
      </w:pPr>
      <w:r>
        <w:t>2025-08-29 [-] 대규모기업집단현황공시[분기별공시(개별회사용)] (rcp_no: 20250829000799)</w:t>
      </w:r>
    </w:p>
    <w:p>
      <w:pPr>
        <w:pStyle w:val="ListBullet"/>
      </w:pPr>
      <w:r>
        <w:t>2025-08-28 [-] [기재정정]반기보고서 (2025.06) (rcp_no: 20250828000988)</w:t>
      </w:r>
    </w:p>
    <w:p>
      <w:pPr>
        <w:pStyle w:val="ListBullet"/>
      </w:pPr>
      <w:r>
        <w:t>2025-08-22 [-] [첨부정정]주요사항보고서(회사합병결정) (rcp_no: 20250822000223)</w:t>
      </w:r>
    </w:p>
    <w:p>
      <w:pPr>
        <w:pStyle w:val="ListBullet"/>
      </w:pPr>
      <w:r>
        <w:t>2025-08-22 [-] 임원ᆞ주요주주특정증권등소유상황보고서 (rcp_no: 20250822000103)</w:t>
      </w:r>
    </w:p>
    <w:p>
      <w:pPr>
        <w:pStyle w:val="ListBullet"/>
      </w:pPr>
      <w:r>
        <w:t>2025-08-21 [-] [기재정정]주요사항보고서(회사합병결정) (rcp_no: 20250821000676)</w:t>
      </w:r>
    </w:p>
    <w:p>
      <w:pPr>
        <w:pStyle w:val="ListBullet"/>
      </w:pPr>
      <w:r>
        <w:t>2025-08-19 [-] 임원ᆞ주요주주특정증권등소유상황보고서 (rcp_no: 20250819000138)</w:t>
      </w:r>
    </w:p>
    <w:p>
      <w:pPr>
        <w:pStyle w:val="ListBullet"/>
      </w:pPr>
      <w:r>
        <w:t>2025-08-13 [-] 영업(잠정)실적(공정공시)               (rcp_no: 20250813800610)</w:t>
      </w:r>
    </w:p>
    <w:p>
      <w:pPr>
        <w:pStyle w:val="ListBullet"/>
      </w:pPr>
      <w:r>
        <w:t>2025-08-13 [-] 반기보고서 (2025.06) (rcp_no: 20250813001295)</w:t>
      </w:r>
    </w:p>
    <w:p>
      <w:pPr>
        <w:pStyle w:val="ListBullet"/>
      </w:pPr>
      <w:r>
        <w:t>2025-08-06 [-] 임원ᆞ주요주주특정증권등소유상황보고서 (rcp_no: 20250806000084)</w:t>
      </w:r>
    </w:p>
    <w:p>
      <w:pPr>
        <w:pStyle w:val="ListBullet"/>
      </w:pPr>
      <w:r>
        <w:t>2025-08-01 [-] 기업설명회(IR)개최(안내공시)               (rcp_no: 20250801800118)</w:t>
      </w:r>
    </w:p>
    <w:p>
      <w:pPr>
        <w:pStyle w:val="ListBullet"/>
      </w:pPr>
      <w:r>
        <w:t>2025-07-23 [-] 임원ᆞ주요주주특정증권등소유상황보고서 (rcp_no: 20250723000010)</w:t>
      </w:r>
    </w:p>
    <w:p>
      <w:pPr>
        <w:pStyle w:val="ListBullet"/>
      </w:pPr>
      <w:r>
        <w:t>2025-07-18 [-] 임원ᆞ주요주주특정증권등소유상황보고서 (rcp_no: 20250718000056)</w:t>
      </w:r>
    </w:p>
    <w:p>
      <w:pPr>
        <w:pStyle w:val="ListBullet"/>
      </w:pPr>
      <w:r>
        <w:t>2025-07-11 [-] 계열금융회사의약관에의한금융거래-[유가증권-채권] (rcp_no: 20250711000161)</w:t>
      </w:r>
    </w:p>
    <w:p>
      <w:pPr>
        <w:pStyle w:val="ListBullet"/>
      </w:pPr>
      <w:r>
        <w:t>2025-07-11 [-] 계열금융회사의약관에의한금융거래-[보험] (rcp_no: 20250711000163)</w:t>
      </w:r>
    </w:p>
    <w:p>
      <w:pPr>
        <w:pStyle w:val="ListBullet"/>
      </w:pPr>
      <w:r>
        <w:t>2025-07-11 [-] 계열금융회사의약관에의한금융거래-[유가증권-수익증권] (rcp_no: 20250711000152)</w:t>
      </w:r>
    </w:p>
    <w:p>
      <w:pPr>
        <w:pStyle w:val="ListBullet"/>
      </w:pPr>
      <w:r>
        <w:t>2025-07-03 [-] 임원ᆞ주요주주특정증권등소유상황보고서 (rcp_no: 20250703000035)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