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동화약품 (000020)</w:t>
      </w:r>
    </w:p>
    <w:p>
      <w:pPr>
        <w:pStyle w:val="Heading2"/>
      </w:pPr>
      <w:r>
        <w:rPr>
          <w:b/>
          <w:color w:val="000000"/>
          <w:sz w:val="32"/>
        </w:rPr>
        <w:t>1. 투자 요약 (Executive Summary)</w:t>
      </w:r>
    </w:p>
    <w:p>
      <w:r>
        <w:t>동화약품은 국내 최장수 제약 기업으로서, 안정적인 일반의약품(OTC) 포트폴리오를 기반으로 꾸준한 매출 성장을 기록하고 있습니다. 2024년 매출액은 3,638억원으로 전년 대비 8.6% 증가했으며, 이는 주력 제품인 ‘활명수’를 비롯한 OTC 제품군의 견조한 성장과 신제품 출시 효과에 기인합니다.</w:t>
      </w:r>
    </w:p>
    <w:p>
      <w:r>
        <w:t>그러나 영업이익률은 2022년 8.4%에서 2024년 4.9%로 하락세를 보이며, 수익성 개선이 필요한 상황입니다. 이는 광고선전비 증가, 연구개발 투자 확대 등 비용 증가 요인과 더불어, 경쟁 심화에 따른 가격 경쟁 압박이 복합적으로 작용한 결과로 판단됩니다.</w:t>
      </w:r>
    </w:p>
    <w:p>
      <w:r>
        <w:t>투자 포인트는 다음과 같습니다. 첫째, 안정적인 OTC 포트폴리오를 기반으로 한 꾸준한 매출 성장 가능성입니다. 둘째, 적극적인 연구개발 투자 및 신제품 출시를 통한 성장 동력 확보 노력입니다. 셋째, 낮은 부채비율과 풍부한 현금 보유액 등 안정적인 재무 구조입니다.</w:t>
      </w:r>
    </w:p>
    <w:p>
      <w:r>
        <w:t>리스크 요인은 다음과 같습니다. 첫째, 경쟁 심화에 따른 가격 경쟁 압박 및 마케팅 비용 증가 가능성입니다. 둘째, 신약 개발 성공 가능성의 불확실성입니다. 셋째, 정부 규제 변화 및 약가 인하 정책의 영향입니다.</w:t>
      </w:r>
    </w:p>
    <w:p>
      <w:r>
        <w:t>종합적으로 판단했을 때, 동화약품은 안정적인 수익 기반과 성장 가능성을 동시에 보유한 기업입니다. 다만, 수익성 개선을 위한 노력이 필요하며, 신약 개발 성공 여부가 향후 성장세를 좌우할 것으로 예상됩니다. 투자를 고려할 경우, 수익성 개선 추이 및 신약 개발 진행 상황을 면밀히 검토해야 할 것입니다.</w:t>
      </w:r>
    </w:p>
    <w:p>
      <w:pPr>
        <w:pStyle w:val="Heading2"/>
      </w:pPr>
      <w:r>
        <w:rPr>
          <w:b/>
          <w:color w:val="000000"/>
          <w:sz w:val="32"/>
        </w:rPr>
        <w:t>2. 재무 실적 및 지표 심층 분석</w:t>
      </w:r>
    </w:p>
    <w:p>
      <w:pPr>
        <w:pStyle w:val="Heading4"/>
      </w:pPr>
      <w:r>
        <w:rPr>
          <w:b/>
          <w:sz w:val="22"/>
        </w:rPr>
        <w:t>2.3 재무 분석</w:t>
      </w:r>
    </w:p>
    <w:p>
      <w:r>
        <w:t>동화약품의 재무제표는 2022년부터 2024년까지 꾸준한 외형 성장을 보여줍니다. 매출액은 지속적으로 증가하고 있으며, 자산총계 역시 확대되고 있습니다. 이는 적극적인 투자와 사업 확장의 결과로 해석됩니다. 다만, 주목해야 할 점은 영업이익과 순이익의 변동입니다. 2023년 순이익이 급증한 것은 일회성 요인, 즉 유형자산 처분 이익 등이 반영된 결과로 보입니다. 이를 제외하면 2024년 순이익은 2022년 대비 감소했습니다. 이는 매출액 증가에도 불구하고 영업이익률 하락에 따른 영향으로 판단됩니다.</w:t>
      </w:r>
    </w:p>
    <w:p>
      <w:r>
        <w:t>자산 구조 측면에서는 유동자산과 비유동자산이 모두 증가하고 있으며, 특히 현금 및 현금성 자산의 비중이 높은 편입니다. 이는 안정적인 유동성 확보를 의미하지만, 동시에 투자 기회 활용에 대한 고민이 필요함을 시사합니다. 부채비율은 2022년 19.5%에서 2024년 39.9%로 상승했지만, 여전히 낮은 수준을 유지하고 있습니다. 이는 재무 건전성이 양호하다는 것을 의미하지만, 부채 증가 속도에 대한 지속적인 관찰이 필요합니다.</w:t>
      </w:r>
    </w:p>
    <w:p>
      <w:r>
        <w:t>자본총계는 꾸준히 증가하고 있으며, 이는 이익잉여금의 증가에 주로 기인합니다. 이는 내부 유보를 통한 성장이 이루어지고 있음을 보여줍니다. 전반적으로 동화약품의 재무 구조는 안정적이지만, 수익성 개선과 투자 효율성 증대가 향후 성장세를 결정하는 중요한 요소가 될 것으로 예상됩니다. 특히, 연구개발 투자 확대에 따른 성과 창출 여부가 중요하며, 투자 대비 효율성을 높이는 전략이 필요합니다.</w:t>
      </w:r>
    </w:p>
    <w:p>
      <w:pPr>
        <w:pStyle w:val="Heading4"/>
      </w:pPr>
      <w:r>
        <w:rPr>
          <w:b/>
          <w:sz w:val="22"/>
        </w:rPr>
        <w:t>2.4 매출 및 이익 성장</w:t>
      </w:r>
    </w:p>
    <w:p>
      <w:r>
        <w:t>동화약품의 매출 성장은 주로 일반의약품(OTC) 사업 부문에 기인합니다. '활명수'와 같은 스테디셀러 제품의 꾸준한 판매와 더불어, '판콜' 등 감기약 제품군의 성장도 매출 증가에 기여했습니다. 또한, 최근 출시된 신제품들의 시장 안착도 긍정적인 영향을 미쳤습니다. 사업 다각화를 위한 노력도 엿보입니다. 화장품 사업 부문의 매출 증가도 주목할 만하며, 이는 새로운 성장 동력 확보를 위한 노력이 결실을 맺고 있음을 보여줍니다.</w:t>
      </w:r>
    </w:p>
    <w:p>
      <w:r>
        <w:t>그러나 영업이익률은 하락세를 보이고 있습니다. 이는 매출액 증가에도 불구하고, 광고선전비, 연구개발비 등 판매관리비 증가가 주요 원인으로 작용한 것으로 분석됩니다. 특히, 경쟁 심화에 따른 마케팅 비용 증가가 수익성 악화에 영향을 미친 것으로 보입니다. 또한, 신제품 출시 및 마케팅 활동 강화에 따른 초기 비용 부담도 수익성 하락에 영향을 미쳤을 가능성이 있습니다.</w:t>
      </w:r>
    </w:p>
    <w:p>
      <w:r>
        <w:t>향후 매출 성장 동력을 확보하기 위해서는 신약 개발 및 해외 시장 진출이 중요합니다. 현재 진행 중인 연구개발 프로젝트의 성공 여부가 향후 성장세를 좌우할 것으로 예상됩니다. 또한, 중국 시장을 비롯한 해외 시장 진출을 통해 새로운 성장 기회를 모색해야 할 것입니다.</w:t>
      </w:r>
    </w:p>
    <w:p>
      <w:pPr>
        <w:pStyle w:val="Heading4"/>
      </w:pPr>
      <w:r>
        <w:rPr>
          <w:b/>
          <w:sz w:val="22"/>
        </w:rPr>
        <w:t>2.5 수익성/효율성 분석</w:t>
      </w:r>
    </w:p>
    <w:p>
      <w:r>
        <w:t>동화약품의 영업이익률은 2022년 8.4%에서 2024년 4.9%로 감소했습니다. 이는 매출원가 상승과 판매관리비 증가에 기인합니다. 매출원가율은 소폭 상승했지만, 판매관리비율의 상승폭이 더 컸습니다. 특히, 광고선전비와 연구개발비 증가가 판매관리비 상승을 주도했습니다. 광고선전비는 경쟁 심화에 따른 마케팅 활동 강화로 인해 증가했으며, 연구개발비는 신약 개발 및 파이프라인 확대를 위한 투자 증가로 인해 증가했습니다.</w:t>
      </w:r>
    </w:p>
    <w:p>
      <w:r>
        <w:t>비용 구조 측면에서는 매출원가율은 안정적인 수준을 유지하고 있지만, 판매관리비율은 지속적으로 상승하고 있습니다. 이는 비용 효율성 개선이 필요함을 시사합니다. 운영 효율성을 높이기 위해서는 불필요한 비용을 절감하고, 마케팅 활동의 효율성을 높이는 방안을 모색해야 합니다. 또한, 연구개발 투자의 성과를 극대화하기 위한 노력이 필요합니다.</w:t>
      </w:r>
    </w:p>
    <w:p>
      <w:r>
        <w:t>수익성 개선을 위해서는 매출액 증가와 비용 절감 노력을 병행해야 합니다. 매출액 증대를 위해서는 신제품 개발 및 해외 시장 진출을 적극적으로 추진해야 하며, 비용 절감을 위해서는 불필요한 비용을 줄이고, 운영 효율성을 높이는 방안을 모색해야 합니다. 특히, 광고선전비 집행의 효율성을 높이고, 연구개발 투자 성과를 극대화하는 것이 중요합니다.</w:t>
      </w:r>
    </w:p>
    <w:p>
      <w:pPr>
        <w:pStyle w:val="Heading4"/>
      </w:pPr>
      <w:r>
        <w:rPr>
          <w:b/>
          <w:sz w:val="22"/>
        </w:rPr>
        <w:t>2.6 재무 건전성</w:t>
      </w:r>
    </w:p>
    <w:p>
      <w:r>
        <w:t>동화약품의 부채비율은 2024년 39.9%로, 제약 업계 평균 대비 낮은 수준을 유지하고 있습니다. 이는 재무 건전성이 양호하다는 것을 의미합니다. 또한, 현금 및 현금성 자산 보유액도 풍부한 편이며, 이는 안정적인 유동성을 확보하고 있다는 것을 보여줍니다.</w:t>
      </w:r>
    </w:p>
    <w:p>
      <w:r>
        <w:t>현금흐름 측면에서는 영업활동현금흐름이 꾸준히 발생하고 있으며, 이는 안정적인 수익 창출 능력을 보유하고 있다는 것을 의미합니다. 투자활동현금흐름은 마이너스를 기록하고 있지만, 이는 설비 투자 및 연구개발 투자 확대에 따른 것으로 해석됩니다. 재무활동현금흐름은 변동성이 큰 편이며, 이는 자금 조달 및 상환 활동에 따른 것으로 판단됩니다.</w:t>
      </w:r>
    </w:p>
    <w:p>
      <w:r>
        <w:t>유동성 측면에서는 유동비율과 당좌비율이 모두 높은 수준을 유지하고 있으며, 이는 단기 채무 상환 능력이 양호하다는 것을 의미합니다. 전반적으로 동화약품의 재무 건전성은 양호하지만, 부채 증가 속도에 대한 지속적인 관찰이 필요합니다. 또한, 투자 확대에 따른 현금흐름 변동성을 주시하고, 안정적인 자금 조달 계획을 수립해야 할 것입니다.</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매출액</w:t>
            </w:r>
          </w:p>
        </w:tc>
        <w:tc>
          <w:tcPr>
            <w:tcW w:type="dxa" w:w="2257"/>
          </w:tcPr>
          <w:p>
            <w:r>
              <w:t>3,638.0억</w:t>
            </w:r>
          </w:p>
        </w:tc>
        <w:tc>
          <w:tcPr>
            <w:tcW w:type="dxa" w:w="2257"/>
          </w:tcPr>
          <w:p>
            <w:r>
              <w:t>3,351.4억</w:t>
            </w:r>
          </w:p>
        </w:tc>
        <w:tc>
          <w:tcPr>
            <w:tcW w:type="dxa" w:w="2257"/>
          </w:tcPr>
          <w:p>
            <w:r>
              <w:t>3,159.3억</w:t>
            </w:r>
          </w:p>
        </w:tc>
      </w:tr>
      <w:tr>
        <w:tc>
          <w:tcPr>
            <w:tcW w:type="dxa" w:w="2257"/>
          </w:tcPr>
          <w:p>
            <w:r>
              <w:t>영업이익</w:t>
            </w:r>
          </w:p>
        </w:tc>
        <w:tc>
          <w:tcPr>
            <w:tcW w:type="dxa" w:w="2257"/>
          </w:tcPr>
          <w:p>
            <w:r>
              <w:t>177.5억</w:t>
            </w:r>
          </w:p>
        </w:tc>
        <w:tc>
          <w:tcPr>
            <w:tcW w:type="dxa" w:w="2257"/>
          </w:tcPr>
          <w:p>
            <w:r>
              <w:t>170.5억</w:t>
            </w:r>
          </w:p>
        </w:tc>
        <w:tc>
          <w:tcPr>
            <w:tcW w:type="dxa" w:w="2257"/>
          </w:tcPr>
          <w:p>
            <w:r>
              <w:t>265.8억</w:t>
            </w:r>
          </w:p>
        </w:tc>
      </w:tr>
      <w:tr>
        <w:tc>
          <w:tcPr>
            <w:tcW w:type="dxa" w:w="2257"/>
          </w:tcPr>
          <w:p>
            <w:r>
              <w:t>순이익</w:t>
            </w:r>
          </w:p>
        </w:tc>
        <w:tc>
          <w:tcPr>
            <w:tcW w:type="dxa" w:w="2257"/>
          </w:tcPr>
          <w:p>
            <w:r>
              <w:t>100.4억</w:t>
            </w:r>
          </w:p>
        </w:tc>
        <w:tc>
          <w:tcPr>
            <w:tcW w:type="dxa" w:w="2257"/>
          </w:tcPr>
          <w:p>
            <w:r>
              <w:t>261.7억</w:t>
            </w:r>
          </w:p>
        </w:tc>
        <w:tc>
          <w:tcPr>
            <w:tcW w:type="dxa" w:w="2257"/>
          </w:tcPr>
          <w:p>
            <w:r>
              <w:t>182.1억</w:t>
            </w:r>
          </w:p>
        </w:tc>
      </w:tr>
      <w:tr>
        <w:tc>
          <w:tcPr>
            <w:tcW w:type="dxa" w:w="2257"/>
          </w:tcPr>
          <w:p>
            <w:r>
              <w:t>자산총계</w:t>
            </w:r>
          </w:p>
        </w:tc>
        <w:tc>
          <w:tcPr>
            <w:tcW w:type="dxa" w:w="2257"/>
          </w:tcPr>
          <w:p>
            <w:r>
              <w:t>5,332.9억</w:t>
            </w:r>
          </w:p>
        </w:tc>
        <w:tc>
          <w:tcPr>
            <w:tcW w:type="dxa" w:w="2257"/>
          </w:tcPr>
          <w:p>
            <w:r>
              <w:t>4,738.7억</w:t>
            </w:r>
          </w:p>
        </w:tc>
        <w:tc>
          <w:tcPr>
            <w:tcW w:type="dxa" w:w="2257"/>
          </w:tcPr>
          <w:p>
            <w:r>
              <w:t>4,298.7억</w:t>
            </w:r>
          </w:p>
        </w:tc>
      </w:tr>
      <w:tr>
        <w:tc>
          <w:tcPr>
            <w:tcW w:type="dxa" w:w="2257"/>
          </w:tcPr>
          <w:p>
            <w:r>
              <w:t>자본총계</w:t>
            </w:r>
          </w:p>
        </w:tc>
        <w:tc>
          <w:tcPr>
            <w:tcW w:type="dxa" w:w="2257"/>
          </w:tcPr>
          <w:p>
            <w:r>
              <w:t>3,811.2억</w:t>
            </w:r>
          </w:p>
        </w:tc>
        <w:tc>
          <w:tcPr>
            <w:tcW w:type="dxa" w:w="2257"/>
          </w:tcPr>
          <w:p>
            <w:r>
              <w:t>3,756.3억</w:t>
            </w:r>
          </w:p>
        </w:tc>
        <w:tc>
          <w:tcPr>
            <w:tcW w:type="dxa" w:w="2257"/>
          </w:tcPr>
          <w:p>
            <w:r>
              <w:t>3,597.9억</w:t>
            </w:r>
          </w:p>
        </w:tc>
      </w:tr>
    </w:tbl>
    <w:p>
      <w:pPr>
        <w:pStyle w:val="Heading3"/>
      </w:pPr>
      <w:r>
        <w:rPr>
          <w:b/>
          <w:color w:val="3C3C3C"/>
          <w:sz w:val="26"/>
        </w:rPr>
        <w:t>2.2 주요 재무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2024년</w:t>
            </w:r>
          </w:p>
        </w:tc>
        <w:tc>
          <w:tcPr>
            <w:tcW w:type="dxa" w:w="2257"/>
          </w:tcPr>
          <w:p>
            <w:r>
              <w:rPr>
                <w:b/>
              </w:rPr>
              <w:t>2023년</w:t>
            </w:r>
          </w:p>
        </w:tc>
        <w:tc>
          <w:tcPr>
            <w:tcW w:type="dxa" w:w="2257"/>
          </w:tcPr>
          <w:p>
            <w:r>
              <w:rPr>
                <w:b/>
              </w:rPr>
              <w:t>2022년</w:t>
            </w:r>
          </w:p>
        </w:tc>
      </w:tr>
      <w:tr>
        <w:tc>
          <w:tcPr>
            <w:tcW w:type="dxa" w:w="2257"/>
          </w:tcPr>
          <w:p>
            <w:r>
              <w:t>영업이익률</w:t>
            </w:r>
          </w:p>
        </w:tc>
        <w:tc>
          <w:tcPr>
            <w:tcW w:type="dxa" w:w="2257"/>
          </w:tcPr>
          <w:p>
            <w:r>
              <w:t>4.9%</w:t>
            </w:r>
          </w:p>
        </w:tc>
        <w:tc>
          <w:tcPr>
            <w:tcW w:type="dxa" w:w="2257"/>
          </w:tcPr>
          <w:p>
            <w:r>
              <w:t>5.1%</w:t>
            </w:r>
          </w:p>
        </w:tc>
        <w:tc>
          <w:tcPr>
            <w:tcW w:type="dxa" w:w="2257"/>
          </w:tcPr>
          <w:p>
            <w:r>
              <w:t>8.4%</w:t>
            </w:r>
          </w:p>
        </w:tc>
      </w:tr>
      <w:tr>
        <w:tc>
          <w:tcPr>
            <w:tcW w:type="dxa" w:w="2257"/>
          </w:tcPr>
          <w:p>
            <w:r>
              <w:t>ROE</w:t>
            </w:r>
          </w:p>
        </w:tc>
        <w:tc>
          <w:tcPr>
            <w:tcW w:type="dxa" w:w="2257"/>
          </w:tcPr>
          <w:p>
            <w:r>
              <w:t>2.6%</w:t>
            </w:r>
          </w:p>
        </w:tc>
        <w:tc>
          <w:tcPr>
            <w:tcW w:type="dxa" w:w="2257"/>
          </w:tcPr>
          <w:p>
            <w:r>
              <w:t>7.0%</w:t>
            </w:r>
          </w:p>
        </w:tc>
        <w:tc>
          <w:tcPr>
            <w:tcW w:type="dxa" w:w="2257"/>
          </w:tcPr>
          <w:p>
            <w:r>
              <w:t>5.1%</w:t>
            </w:r>
          </w:p>
        </w:tc>
      </w:tr>
      <w:tr>
        <w:tc>
          <w:tcPr>
            <w:tcW w:type="dxa" w:w="2257"/>
          </w:tcPr>
          <w:p>
            <w:r>
              <w:t>부채비율</w:t>
            </w:r>
          </w:p>
        </w:tc>
        <w:tc>
          <w:tcPr>
            <w:tcW w:type="dxa" w:w="2257"/>
          </w:tcPr>
          <w:p>
            <w:r>
              <w:t>39.9%</w:t>
            </w:r>
          </w:p>
        </w:tc>
        <w:tc>
          <w:tcPr>
            <w:tcW w:type="dxa" w:w="2257"/>
          </w:tcPr>
          <w:p>
            <w:r>
              <w:t>26.2%</w:t>
            </w:r>
          </w:p>
        </w:tc>
        <w:tc>
          <w:tcPr>
            <w:tcW w:type="dxa" w:w="2257"/>
          </w:tcPr>
          <w:p>
            <w:r>
              <w:t>19.5%</w:t>
            </w:r>
          </w:p>
        </w:tc>
      </w:tr>
    </w:tbl>
    <w:p>
      <w:r>
        <w:t>DART 재무 데이터 기준으로 작성되었습니다.</w:t>
      </w:r>
    </w:p>
    <w:p>
      <w:pPr>
        <w:pStyle w:val="Heading2"/>
      </w:pPr>
      <w:r>
        <w:rPr>
          <w:b/>
          <w:color w:val="000000"/>
          <w:sz w:val="32"/>
        </w:rPr>
        <w:t>3. 사업 모델 및 경쟁 우위</w:t>
      </w:r>
    </w:p>
    <w:p>
      <w:pPr>
        <w:pStyle w:val="Heading3"/>
      </w:pPr>
      <w:r>
        <w:rPr>
          <w:b/>
          <w:color w:val="3C3C3C"/>
          <w:sz w:val="26"/>
        </w:rPr>
        <w:t>핵심 사업 구조와 수익원</w:t>
      </w:r>
    </w:p>
    <w:p>
      <w:r>
        <w:t>동화약품은 국내 최초 제약사로서 일반의약품(OTC), 전문의약품(ETC), 건강기능식품, 그리고 GSK 제품 판매를 통해 수익을 창출합니다. 핵심 사업 구조는 다음과 같습니다.</w:t>
      </w:r>
    </w:p>
    <w:p>
      <w:r>
        <w:t xml:space="preserve">*   </w:t>
      </w:r>
      <w:r>
        <w:rPr>
          <w:b/>
        </w:rPr>
        <w:t>일반의약품(OTC):</w:t>
      </w:r>
      <w:r>
        <w:t xml:space="preserve"> '판콜' 시리즈와 같이 소비자 인지도가 높은 감기약, 소화제, 상처 치료제 등을 판매합니다. 특히 '판콜에스'는 3년 연속 판매 1위를 기록하며 겨울 감기 시즌에 꾸준한 매출을 올리고 있습니다.</w:t>
      </w:r>
    </w:p>
    <w:p>
      <w:r>
        <w:t xml:space="preserve">*   </w:t>
      </w:r>
      <w:r>
        <w:rPr>
          <w:b/>
        </w:rPr>
        <w:t>전문의약품(ETC):</w:t>
      </w:r>
      <w:r>
        <w:t xml:space="preserve"> 신제품 '에크락겔'과 같이 특정 질환을 타겟으로 하는 전문 의약품을 개발 및 판매합니다. 에크락겔은 국내 최초 겨드랑이 다한증 외용제로서 새로운 치료 옵션을 제공하며, 관련 시장의 성장 잠재력을 활용할 것으로 예상됩니다.</w:t>
      </w:r>
    </w:p>
    <w:p>
      <w:r>
        <w:t xml:space="preserve">*   </w:t>
      </w:r>
      <w:r>
        <w:rPr>
          <w:b/>
        </w:rPr>
        <w:t>건강기능식품:</w:t>
      </w:r>
      <w:r>
        <w:t xml:space="preserve"> 특정 제품군은 확인되지 않으나, 건강기능식품 시장의 전반적인 성장 추세에 따라 관련 제품 개발 및 판매를 통해 수익을 다각화하고 있을 것으로 추정됩니다.</w:t>
      </w:r>
    </w:p>
    <w:p>
      <w:r>
        <w:t xml:space="preserve">*   </w:t>
      </w:r>
      <w:r>
        <w:rPr>
          <w:b/>
        </w:rPr>
        <w:t>GSK 제품 판매:</w:t>
      </w:r>
      <w:r>
        <w:t xml:space="preserve"> GSK와의 파트너십을 통해 '잔탁', '센소다인' 등 인지도가 높은 제품을 판매합니다. 이를 통해 안정적인 매출을 확보하고, 제품 포트폴리오를 강화합니다.</w:t>
      </w:r>
    </w:p>
    <w:p>
      <w:r>
        <w:t>매출 구성은 사업보고서를 통해 정확한 비중을 파악해야 하나, 일반의약품은 꾸준한 캐시카우 역할을, 전문의약품은 신성장 동력 역할을 수행할 것으로 예상됩니다. GSK 제품 판매는 안정적인 매출 기반을 제공합니다. 수익 구조는 제품 판매 마진에 기반하며, 연구 개발 투자, 마케팅 비용, 그리고 판매 관리비 등이 수익성에 영향을 미칩니다.</w:t>
      </w:r>
    </w:p>
    <w:p>
      <w:pPr>
        <w:pStyle w:val="Heading3"/>
      </w:pPr>
      <w:r>
        <w:rPr>
          <w:b/>
          <w:color w:val="3C3C3C"/>
          <w:sz w:val="26"/>
        </w:rPr>
        <w:t>시장 포지션 및 경쟁 환경</w:t>
      </w:r>
    </w:p>
    <w:p>
      <w:r>
        <w:t>국내 제약 시장은 경쟁이 치열하며, 동화약품은 중견 제약사로서 시장에서 확고한 입지를 구축하는 데 집중하고 있습니다.</w:t>
      </w:r>
    </w:p>
    <w:p>
      <w:r>
        <w:t xml:space="preserve">*   </w:t>
      </w:r>
      <w:r>
        <w:rPr>
          <w:b/>
        </w:rPr>
        <w:t>시장 규모 및 성장률:</w:t>
      </w:r>
      <w:r>
        <w:t xml:space="preserve"> 국내 제약 시장은 고령화 사회 진입과 건강에 대한 관심 증가로 인해 꾸준히 성장하고 있습니다. 특히 전문의약품 시장은 신약 개발과 혁신적인 치료제 출시로 인해 높은 성장률을 보이고 있습니다.</w:t>
      </w:r>
    </w:p>
    <w:p>
      <w:r>
        <w:t xml:space="preserve">*   </w:t>
      </w:r>
      <w:r>
        <w:rPr>
          <w:b/>
        </w:rPr>
        <w:t>경쟁사 대비 차별점:</w:t>
      </w:r>
      <w:r>
        <w:t xml:space="preserve"> 동화약품은 120년이 넘는 역사를 가진 국내 최초 제약사로서, 오랜 전통과 높은 브랜드 인지도를 보유하고 있습니다. '판콜'과 같은 스테디셀러 제품은 경쟁사 대비 강력한 차별점입니다. 또한, '에크락겔'과 같이 틈새시장을 공략하는 전문의약품 개발 전략은 경쟁 심화 속에서 성장 동력을 확보하는 데 기여할 수 있습니다. GSK와의 파트너십은 제품 포트폴리오를 강화하고, 안정적인 매출 기반을 확보하는 데 도움이 됩니다.</w:t>
      </w:r>
    </w:p>
    <w:p>
      <w:r>
        <w:t>주요 경쟁사로는 유한양행, GC녹십자, 한미약품 등이 있으며, 이들은 신약 개발, 해외 시장 진출, 그리고 적극적인 마케팅 전략을 통해 시장 점유율을 확대하고 있습니다. 동화약품은 경쟁사 대비 차별화된 제품 개발 및 브랜드 인지도 강화 전략을 통해 경쟁 우위를 확보해야 합니다.</w:t>
      </w:r>
    </w:p>
    <w:p>
      <w:pPr>
        <w:pStyle w:val="Heading3"/>
      </w:pPr>
      <w:r>
        <w:rPr>
          <w:b/>
          <w:color w:val="3C3C3C"/>
          <w:sz w:val="26"/>
        </w:rPr>
        <w:t>성장 전략 및 제품 로드맵</w:t>
      </w:r>
    </w:p>
    <w:p>
      <w:r>
        <w:t>동화약품은 신약 개발과 제품 포트폴리오 확장을 통해 성장 동력을 확보하고 있습니다.</w:t>
      </w:r>
    </w:p>
    <w:p>
      <w:r>
        <w:t xml:space="preserve">*   </w:t>
      </w:r>
      <w:r>
        <w:rPr>
          <w:b/>
        </w:rPr>
        <w:t>신규 시장/제품 확장 전략:</w:t>
      </w:r>
      <w:r>
        <w:t xml:space="preserve"> 신약 개발에 대한 투자를 확대하고 있으며, 특히 전문의약품 분야에서 혁신적인 신약 개발을 목표로 하고 있습니다. '에크락겔' 출시를 통해 다한증 치료제 시장에 진출한 것은 틈새시장을 공략하는 좋은 사례입니다.</w:t>
      </w:r>
    </w:p>
    <w:p>
      <w:r>
        <w:t xml:space="preserve">*   </w:t>
      </w:r>
      <w:r>
        <w:rPr>
          <w:b/>
        </w:rPr>
        <w:t>제품 로드맵:</w:t>
      </w:r>
      <w:r>
        <w:t xml:space="preserve"> 구체적인 제품 로드맵은 공개되지 않았으나, 신약 개발 파이프라인을 확대하고, 기존 제품의 제형 개선 및 적응증 확대를 통해 제품 경쟁력을 강화할 것으로 예상됩니다. 또한, 건강기능식품 시장 진출을 통해 수익원을 다각화할 가능성도 있습니다.</w:t>
      </w:r>
    </w:p>
    <w:p>
      <w:r>
        <w:t>성장 전략의 실행 가능성은 연구 개발 투자 규모, 임상 시험 성공률, 그리고 시장 경쟁 환경에 따라 달라질 수 있습니다. 신약 개발은 높은 위험도를 수반하지만, 성공할 경우 높은 수익성을 확보할 수 있습니다.</w:t>
      </w:r>
    </w:p>
    <w:p>
      <w:pPr>
        <w:pStyle w:val="Heading3"/>
      </w:pPr>
      <w:r>
        <w:rPr>
          <w:b/>
          <w:color w:val="3C3C3C"/>
          <w:sz w:val="26"/>
        </w:rPr>
        <w:t>운영 역량 및 ESG</w:t>
      </w:r>
    </w:p>
    <w:p>
      <w:r>
        <w:t>동화약품은 생산 시설, 공급망 관리, 인재 확보, 그리고 ESG 경영을 통해 지속 가능한 성장을 추구하고 있습니다.</w:t>
      </w:r>
    </w:p>
    <w:p>
      <w:r>
        <w:t xml:space="preserve">*   </w:t>
      </w:r>
      <w:r>
        <w:rPr>
          <w:b/>
        </w:rPr>
        <w:t>생산/공급망:</w:t>
      </w:r>
      <w:r>
        <w:t xml:space="preserve"> 효율적인 생산 시설 운영과 안정적인 공급망 관리는 제품 생산 비용 절감과 제품 품질 유지에 필수적입니다. 스마트 팩토리 구축 등을 통해 생산 효율성을 높이고, 공급망 다변화를 통해 외부 충격에 대한 대응력을 강화해야 합니다.</w:t>
      </w:r>
    </w:p>
    <w:p>
      <w:r>
        <w:t xml:space="preserve">*   </w:t>
      </w:r>
      <w:r>
        <w:rPr>
          <w:b/>
        </w:rPr>
        <w:t>인재:</w:t>
      </w:r>
      <w:r>
        <w:t xml:space="preserve"> 제약 산업은 전문 인력 확보가 중요합니다. 동화약품은 우수 인재 확보를 위해 경쟁력 있는 급여 및 복지 제도를 제공하고, 직무 교육 프로그램을 통해 직원들의 역량을 강화해야 합니다. 최근 50대 임원 감축은 조직 효율성을 높이기 위한 노력으로 보이며, 젊은 인재를 육성하고 혁신적인 아이디어를 장려하는 문화 조성이 필요합니다.</w:t>
      </w:r>
    </w:p>
    <w:p>
      <w:r>
        <w:t xml:space="preserve">*   </w:t>
      </w:r>
      <w:r>
        <w:rPr>
          <w:b/>
        </w:rPr>
        <w:t>ESG:</w:t>
      </w:r>
      <w:r>
        <w:t xml:space="preserve"> 환경 보호, 사회적 책임, 그리고 투명한 지배 구조는 기업의 지속 가능성을 평가하는 중요한 지표입니다. 동화약품은 친환경적인 생산 공정 도입, 사회공헌 활동 참여, 그리고 투명한 경영 시스템 구축을 통해 ESG 경영을 강화해야 합니다.</w:t>
      </w:r>
    </w:p>
    <w:p>
      <w:r>
        <w:t>윤인호 대표 체제 하에서 경영 효율성을 높이고, 신성장 동력을 확보하기 위한 노력이 지속될 것으로 예상됩니다. 오너 3세 경영 체제가 안정적으로 정착될 수 있도록 투명하고 책임감 있는 경영 시스템 구축이 중요합니다.</w:t>
      </w:r>
    </w:p>
    <w:p>
      <w:pPr>
        <w:pStyle w:val="Heading3"/>
      </w:pPr>
      <w:r>
        <w:rPr>
          <w:b/>
          <w:color w:val="3C3C3C"/>
          <w:sz w:val="26"/>
        </w:rPr>
        <w:t>결론: 사업 모델의 지속 가능성</w:t>
      </w:r>
    </w:p>
    <w:p>
      <w:r>
        <w:t>향후 3~5년 동안 동화약품의 사업 모델은 지속 가능할 것으로 예상되나, 몇 가지 과제가 존재합니다.</w:t>
      </w:r>
    </w:p>
    <w:p>
      <w:r>
        <w:t xml:space="preserve">*   </w:t>
      </w:r>
      <w:r>
        <w:rPr>
          <w:b/>
        </w:rPr>
        <w:t>강점:</w:t>
      </w:r>
      <w:r>
        <w:t xml:space="preserve"> 오랜 역사와 높은 브랜드 인지도, '판콜'과 같은 스테디셀러 제품, 그리고 GSK와의 파트너십은 안정적인 수익 기반을 제공합니다. '에크락겔'과 같은 틈새시장을 공략하는 전문의약품 개발 전략은 성장 잠재력을 높입니다.</w:t>
      </w:r>
    </w:p>
    <w:p>
      <w:r>
        <w:t>약점:</w:t>
      </w:r>
      <w:r>
        <w:rPr>
          <w:b/>
        </w:rPr>
        <w:t xml:space="preserve"> 경쟁 심화, 신약 개발의 높은 위험도, 그리고 변화하는 시장 환경에 대한 대응력 부족은 사업 모델의 지속 가능성을 저해할 수 있습니다.</w:t>
      </w:r>
    </w:p>
    <w:p>
      <w:r>
        <w:t>기회:</w:t>
      </w:r>
      <w:r>
        <w:rPr>
          <w:b/>
        </w:rPr>
        <w:t xml:space="preserve"> 고령화 사회 진입과 건강에 대한 관심 증가, 그리고 정부의 제약 산업 육성 정책은 동화약품에게 새로운 성장 기회를 제공할 수 있습니다.</w:t>
      </w:r>
    </w:p>
    <w:p>
      <w:r>
        <w:t xml:space="preserve">*   </w:t>
      </w:r>
      <w:r>
        <w:rPr>
          <w:b/>
        </w:rPr>
        <w:t>위협:</w:t>
      </w:r>
      <w:r>
        <w:t xml:space="preserve"> 경쟁사의 적극적인 마케팅, 신약 개발 실패, 그리고 약가 인하 정책은 수익성을 악화시킬 수 있습니다.</w:t>
      </w:r>
    </w:p>
    <w:p>
      <w:r>
        <w:t>결론적으로, 동화약품은 신약 개발 투자 확대, 제품 포트폴리오 다변화, 그리고 ESG 경영 강화를 통해 사업 모델의 지속 가능성을 높여야 합니다. 특히, 틈새시장을 공략하는 전문의약품 개발 전략과 젊은 인재 육성을 통해 혁신적인 아이디어를 장려하는 문화 조성이 중요합니다.</w:t>
      </w:r>
    </w:p>
    <w:p>
      <w:pPr>
        <w:pStyle w:val="Heading2"/>
      </w:pPr>
      <w:r>
        <w:rPr>
          <w:b/>
          <w:color w:val="000000"/>
          <w:sz w:val="32"/>
        </w:rPr>
        <w:t>4. 리스크 및 기회 요인</w:t>
      </w:r>
    </w:p>
    <w:p>
      <w:pPr>
        <w:pStyle w:val="Heading3"/>
      </w:pPr>
      <w:r>
        <w:rPr>
          <w:b/>
          <w:color w:val="3C3C3C"/>
          <w:sz w:val="26"/>
        </w:rPr>
        <w:t>4.1 리스크 요인 (Risk Factors)</w:t>
      </w:r>
    </w:p>
    <w:p>
      <w:r>
        <w:t>[리스크 1] 경쟁 심화 및 제네릭 의약품 압박:</w:t>
      </w:r>
      <w:r>
        <w:rPr>
          <w:b/>
        </w:rPr>
        <w:t xml:space="preserve"> 국내 제약 시장은 다수의 경쟁사들이 존재하며, 특히 동화약품의 주요 제품 라인업에 대한 제네릭 의약품 출시 압박이 지속적으로 증가하고 있습니다. 이는 오리지널 의약품의 시장 점유율 하락과 가격 인하를 유발하여 수익성 악화로 이어질 수 있습니다. 또한, 정부의 약가 인하 정책과 제네릭 의약품 장려 정책은 이러한 경쟁 심화를 더욱 부추길 가능성이 높습니다.</w:t>
      </w:r>
    </w:p>
    <w:p>
      <w:r>
        <w:t>[리스크 2] 신약 개발 실패 및 R&amp;D 투자 효율성 저하:</w:t>
      </w:r>
      <w:r>
        <w:rPr>
          <w:b/>
        </w:rPr>
        <w:t xml:space="preserve"> 신약 개발은 고위험-고수익 사업으로, 막대한 투자에도 불구하고 임상 시험 실패 가능성이 상존합니다. 동화약품 역시 신약 개발에 상당한 투자를 진행하고 있지만, 임상 단계에서의 실패는 재정적 부담을 가중시키고 기업 가치 하락을 초래할 수 있습니다. 또한, R&amp;D 투자 효율성이 낮을 경우, 투자 대비 성과 미흡으로 경쟁력 약화로 이어질 수 있습니다.</w:t>
      </w:r>
    </w:p>
    <w:p>
      <w:r>
        <w:t>[리스크 3] 정부 규제 강화 및 약가 정책 변화:</w:t>
      </w:r>
      <w:r>
        <w:rPr>
          <w:b/>
        </w:rPr>
        <w:t xml:space="preserve"> 제약 산업은 정부의 규제 환경에 민감하게 반응하며, 약가 인하 정책, 리베이트 규제 강화 등은 기업의 수익성에 직접적인 영향을 미칩니다. 특히 동화약품은 일반의약품(OTC) 비중이 높은 편으로, 정부의 정책 변화에 따라 실적 변동성이 커질 수 있습니다. 향후 정부의 규제 강화 추세는 동화약품의 경영 환경에 부정적인 영향을 미칠 가능성이 높습니다.</w:t>
      </w:r>
    </w:p>
    <w:p>
      <w:r>
        <w:t>[리스크 4] 원료 의약품 수급 불안정 및 가격 상승:</w:t>
      </w:r>
      <w:r>
        <w:rPr>
          <w:b/>
        </w:rPr>
        <w:t xml:space="preserve"> 글로벌 공급망 불안정으로 인해 원료 의약품 수급에 차질이 발생하거나 가격이 급등할 경우, 생산 비용 증가로 이어져 수익성을 악화시킬 수 있습니다. 특히 특정 원료 의약품에 대한 의존도가 높을 경우, 수급 불안정 위험은 더욱 커집니다. 동화약품은 원료 의약품 공급망 관리 및 대체 원료 확보 노력을 강화해야 할 필요가 있습니다.</w:t>
      </w:r>
    </w:p>
    <w:p>
      <w:r>
        <w:t>[리스크 5] 생산 설비 노후화 및 품질 관리 문제 발생:</w:t>
      </w:r>
      <w:r>
        <w:rPr>
          <w:b/>
        </w:rPr>
        <w:t xml:space="preserve"> 동화약품의 생산 설비 노후화는 생산 효율성 저하 및 유지 보수 비용 증가를 초래할 수 있습니다. 또한, 품질 관리 시스템에 문제가 발생할 경우, 제품 리콜 및 생산 중단으로 이어져 기업 이미지 손상 및 매출 감소로 이어질 수 있습니다. 지속적인 설비 투자 및 품질 관리 시스템 개선 노력이 필요합니다.</w:t>
      </w:r>
    </w:p>
    <w:p>
      <w:r>
        <w:t>[리스크 6] 해외 시장 진출의 불확실성 및 경쟁 심화:</w:t>
      </w:r>
      <w:r>
        <w:rPr>
          <w:b/>
        </w:rPr>
        <w:t xml:space="preserve"> 동화약품은 해외 시장 진출을 추진하고 있지만, 각 국가별 규제, 문화적 차이, 경쟁 환경 등 다양한 요인으로 인해 성공 가능성을 예측하기 어렵습니다. 특히 글로벌 제약 기업들과의 경쟁은 더욱 심화될 것으로 예상되며, 해외 시장 진출 초기에는 투자 비용 대비 수익성이 낮을 수 있습니다.</w:t>
      </w:r>
    </w:p>
    <w:p>
      <w:r>
        <w:t>[리스크 7] 법적 소송 및 규제 위반 가능성:</w:t>
      </w:r>
      <w:r>
        <w:rPr>
          <w:b/>
        </w:rPr>
        <w:t xml:space="preserve"> 제약 산업은 안전성 및 유효성 관련 법규를 엄격하게 준수해야 하며, 위반 시 막대한 벌금 및 제재를 받을 수 있습니다. 또한, 특허 소송, 제품 책임 소송 등 법적 분쟁 발생 가능성도 존재하며, 이는 기업 이미지 손상 및 재정적 부담으로 이어질 수 있습니다.</w:t>
      </w:r>
    </w:p>
    <w:p>
      <w:r>
        <w:t>[리스크 8] 금리 인상 및 거시 경제 불확실성:</w:t>
      </w:r>
      <w:r>
        <w:rPr>
          <w:b/>
        </w:rPr>
        <w:t xml:space="preserve"> 금리 인상 기조는 기업의 차입 비용 증가로 이어져 재무 부담을 가중시킬 수 있습니다. 또한, 글로벌 경기 침체 가능성, 환율 변동 등 거시 경제 불확실성은 제약 시장 수요 감소 및 수익성 악화로 이어질 수 있습니다. 동화약품은 금리 변동 및 거시 경제 상황 변화에 대한 리스크 관리를 강화해야 합니다.</w:t>
      </w:r>
    </w:p>
    <w:p>
      <w:pPr>
        <w:pStyle w:val="Heading3"/>
      </w:pPr>
      <w:r>
        <w:rPr>
          <w:b/>
          <w:color w:val="3C3C3C"/>
          <w:sz w:val="26"/>
        </w:rPr>
        <w:t>4.2 기회 요인 (Opportunity Factors)</w:t>
      </w:r>
    </w:p>
    <w:p>
      <w:r>
        <w:t>[기회 1] 고령화 사회 진입 및 건강 관리 수요 증가:</w:t>
      </w:r>
      <w:r>
        <w:rPr>
          <w:b/>
        </w:rPr>
        <w:t xml:space="preserve"> 한국 사회는 급격한 고령화 사회로 진입하면서 만성 질환 치료제 및 건강 기능 식품에 대한 수요가 지속적으로 증가하고 있습니다. 동화약품은 관련 제품 라인업을 강화하고, 고령층을 타겟으로 한 마케팅 전략을 통해 시장 점유율을 확대할 수 있습니다.</w:t>
      </w:r>
    </w:p>
    <w:p>
      <w:r>
        <w:t>[기회 2] 일반의약품(OTC) 시장 성장 잠재력:</w:t>
      </w:r>
      <w:r>
        <w:rPr>
          <w:b/>
        </w:rPr>
        <w:t xml:space="preserve"> 일반의약품(OTC) 시장은 소비자의 자가 치료 경향 강화 및 약국 외 판매 채널 확대로 인해 성장 잠재력이 높습니다. 동화약품은 '활명수'와 같은 강력한 브랜드 인지도를 가진 OTC 제품을 활용하여 시장 경쟁력을 강화할 수 있습니다. 또한, 새로운 OTC 제품 개발 및 마케팅 강화를 통해 시장 점유율을 확대할 수 있습니다.</w:t>
      </w:r>
    </w:p>
    <w:p>
      <w:r>
        <w:t>[기회 3] 디지털 헬스케어 시장 성장 및 사업 확장 기회:</w:t>
      </w:r>
      <w:r>
        <w:rPr>
          <w:b/>
        </w:rPr>
        <w:t xml:space="preserve"> 디지털 헬스케어 시장은 IT 기술 발전과 함께 빠르게 성장하고 있으며, 동화약품은 디지털 헬스케어 플랫폼 구축, 비대면 진료 서비스 제공 등 새로운 사업 기회를 모색할 수 있습니다. 특히, '활명수'와 같은 기존 제품과 연계한 디지털 헬스케어 서비스 개발은 시너지 효과를 창출할 수 있습니다.</w:t>
      </w:r>
    </w:p>
    <w:p>
      <w:r>
        <w:t>[기회 4] 해외 시장 진출 확대 및 신흥 시장 성장:</w:t>
      </w:r>
      <w:r>
        <w:rPr>
          <w:b/>
        </w:rPr>
        <w:t xml:space="preserve"> 동화약품은 중국, 동남아시아 등 신흥 시장 진출을 통해 새로운 성장 동력을 확보할 수 있습니다. 특히, 한류 열풍 및 한국 의약품에 대한 긍정적인 인식은 해외 시장 진출에 유리하게 작용할 수 있습니다. 현지 시장 맞춤형 제품 개발 및 마케팅 전략을 통해 해외 시장 점유율을 확대할 수 있습니다.</w:t>
      </w:r>
    </w:p>
    <w:p>
      <w:r>
        <w:t>[기회 5] M&amp;A 및 전략적 제휴를 통한 성장:</w:t>
      </w:r>
      <w:r>
        <w:rPr>
          <w:b/>
        </w:rPr>
        <w:t xml:space="preserve"> 동화약품은 M&amp;A 및 전략적 제휴를 통해 신기술 확보, 제품 라인업 확대, 해외 시장 진출 등 다양한 성장 기회를 모색할 수 있습니다. 특히, 유망한 바이오 벤처 기업과의 협력은 신약 개발 성공 가능성을 높이고 미래 성장 동력을 확보하는 데 기여할 수 있습니다.</w:t>
      </w:r>
    </w:p>
    <w:p>
      <w:r>
        <w:t>[기회 6] 신약 개발 성공 및 파이프라인 확장:</w:t>
      </w:r>
      <w:r>
        <w:rPr>
          <w:b/>
        </w:rPr>
        <w:t xml:space="preserve"> 동화약품은 신약 개발에 성공할 경우, 막대한 수익 창출 및 기업 가치 상승을 기대할 수 있습니다. 특히, 혁신 신약 개발은 경쟁 우위를 확보하고 시장 지배력을 강화하는 데 중요한 역할을 합니다. 지속적인 R&amp;D 투자 및 파이프라인 확장을 통해 신약 개발 성공 가능성을 높여야 합니다.</w:t>
      </w:r>
    </w:p>
    <w:p>
      <w:r>
        <w:t>[기회 7] 정부 지원 정책 활용 및 R&amp;D 세액 공제 혜택:</w:t>
      </w:r>
      <w:r>
        <w:rPr>
          <w:b/>
        </w:rPr>
        <w:t xml:space="preserve"> 정부는 제약 산업 육성을 위해 R&amp;D 지원, 세액 공제 등 다양한 정책을 시행하고 있습니다. 동화약품은 정부 지원 정책을 적극적으로 활용하여 R&amp;D 투자 부담을 완화하고 신약 개발 성공 가능성을 높일 수 있습니다.</w:t>
      </w:r>
    </w:p>
    <w:p>
      <w:r>
        <w:t>[기회 8] ESG 경영 강화 및 사회적 책임 확대:</w:t>
      </w:r>
      <w:r>
        <w:rPr>
          <w:b/>
        </w:rPr>
        <w:t xml:space="preserve"> ESG 경영은 기업의 지속 가능성을 높이고 투자 유치에 긍정적인 영향을 미칩니다. 동화약품은 환경 보호, 사회 공헌, 윤리 경영 등 ESG 경영을 강화하여 기업 이미지를 제고하고 사회적 책임을 다해야 합니다.</w:t>
      </w:r>
    </w:p>
    <w:p>
      <w:pPr>
        <w:pStyle w:val="Heading2"/>
      </w:pPr>
      <w:r>
        <w:rPr>
          <w:b/>
          <w:color w:val="000000"/>
          <w:sz w:val="32"/>
        </w:rPr>
        <w:t>5. 최종 투자 결론 및 모니터링 포인트</w:t>
      </w:r>
    </w:p>
    <w:p>
      <w:pPr>
        <w:pStyle w:val="Heading3"/>
      </w:pPr>
      <w:r>
        <w:rPr>
          <w:b/>
          <w:color w:val="3C3C3C"/>
          <w:sz w:val="26"/>
        </w:rPr>
        <w:t>5.1 최종 투자 결론</w:t>
      </w:r>
    </w:p>
    <w:p>
      <w:r>
        <w:t xml:space="preserve">동화약품에 대한 투자는 </w:t>
      </w:r>
      <w:r>
        <w:rPr>
          <w:b/>
        </w:rPr>
        <w:t>신중한 접근</w:t>
      </w:r>
      <w:r>
        <w:t>이 필요하다고 판단됩니다. 긍정적인 측면으로는 고령화 사회 진입에 따른 헬스케어 수요 증가, 일반의약품 시장의 성장 잠재력, 해외 시장 진출 기회 등이 존재합니다. 특히, 활명수와 같은 강력한 브랜드 인지도를 가진 제품은 시장 경쟁력 유지에 기여할 수 있습니다. 하지만, 경쟁 심화, 제네릭 의약품 압박, 신약 개발의 불확실성, 정부 규제 강화 등 다양한 리스크 요인이 존재하며, 이는 수익성 악화 및 기업 가치 하락으로 이어질 수 있습니다.</w:t>
      </w:r>
    </w:p>
    <w:p>
      <w:r>
        <w:t>단기적으로는 금리 인상 및 거시 경제 불확실성 또한 투자 심리를 위축시킬 수 있습니다. 동화약품은 이러한 리스크 요인을 극복하고 성장 동력을 확보하기 위해 R&amp;D 투자 효율성 제고, 신규 사업 발굴, 해외 시장 진출 전략 강화 등 적극적인 노력이 필요합니다. 특히, 신약 개발 성공 여부는 기업 가치에 큰 영향을 미칠 것으로 예상됩니다.</w:t>
      </w:r>
    </w:p>
    <w:p>
      <w:r>
        <w:t xml:space="preserve">따라서, 투자 결정은 동화약품의 리스크 관리 능력, 성장 전략 실행력, 신약 개발 진행 상황 등을 종합적으로 고려하여 신중하게 판단해야 합니다. 현재 시점에서는 적극적인 투자보다는 </w:t>
      </w:r>
      <w:r>
        <w:rPr>
          <w:b/>
        </w:rPr>
        <w:t>보수적인 관점</w:t>
      </w:r>
      <w:r>
        <w:t>에서 접근하는 것이 바람직하며, 향후 실적 개선 추이 및 리스크 요인 해소 여부를 지속적으로 모니터링해야 합니다.</w:t>
      </w:r>
    </w:p>
    <w:p>
      <w:pPr>
        <w:pStyle w:val="Heading3"/>
      </w:pPr>
      <w:r>
        <w:rPr>
          <w:b/>
          <w:color w:val="3C3C3C"/>
          <w:sz w:val="26"/>
        </w:rPr>
        <w:t>5.2 모니터링 포인트</w:t>
      </w:r>
    </w:p>
    <w:p>
      <w:r>
        <w:t xml:space="preserve">*   </w:t>
      </w:r>
      <w:r>
        <w:rPr>
          <w:b/>
        </w:rPr>
        <w:t>[포인트 1] 신약 개발 파이프라인 진행 상황 및 임상 결과:</w:t>
      </w:r>
      <w:r>
        <w:t xml:space="preserve"> 신약 개발 성공 가능성은 기업 가치에 큰 영향을 미치므로, 임상 시험 진행 상황 및 결과 발표를 면밀히 모니터링해야 합니다.</w:t>
      </w:r>
    </w:p>
    <w:p>
      <w:r>
        <w:t xml:space="preserve">*   </w:t>
      </w:r>
      <w:r>
        <w:rPr>
          <w:b/>
        </w:rPr>
        <w:t>[포인트 2] 주요 제품 라인업의 시장 점유율 변화:</w:t>
      </w:r>
      <w:r>
        <w:t xml:space="preserve"> 제네릭 의약품 출시 압박에 대한 대응 및 시장 경쟁력 유지 여부를 판단하기 위해 주요 제품의 시장 점유율 변화를 주시해야 합니다.</w:t>
      </w:r>
    </w:p>
    <w:p>
      <w:r>
        <w:t xml:space="preserve">*   </w:t>
      </w:r>
      <w:r>
        <w:rPr>
          <w:b/>
        </w:rPr>
        <w:t>[포인트 3] R&amp;D 투자 효율성 및 신규 사업 성과:</w:t>
      </w:r>
      <w:r>
        <w:t xml:space="preserve"> R&amp;D 투자 대비 성과 및 신규 사업의 매출 기여도를 분석하여 성장 동력 확보 여부를 평가해야 합니다.</w:t>
      </w:r>
    </w:p>
    <w:p>
      <w:r>
        <w:t xml:space="preserve">*   </w:t>
      </w:r>
      <w:r>
        <w:rPr>
          <w:b/>
        </w:rPr>
        <w:t>[포인트 4] 정부 규제 변화 및 약가 인하 정책 영향:</w:t>
      </w:r>
      <w:r>
        <w:t xml:space="preserve"> 정부의 정책 변화가 동화약품의 수익성에 미치는 영향을 파악하고, 이에 대한 대응 전략을 점검해야 합니다.</w:t>
      </w:r>
    </w:p>
    <w:p>
      <w:r>
        <w:t xml:space="preserve">*   </w:t>
      </w:r>
      <w:r>
        <w:rPr>
          <w:b/>
        </w:rPr>
        <w:t>[포인트 5] 해외 시장 진출 현황 및 성과:</w:t>
      </w:r>
      <w:r>
        <w:t xml:space="preserve"> 해외 시장 진출 전략의 성공 여부를 판단하기 위해 시장 점유율, 매출 성장률 등을 모니터링해야 합니다.</w:t>
      </w:r>
    </w:p>
    <w:p>
      <w:r>
        <w:t xml:space="preserve">*   </w:t>
      </w:r>
      <w:r>
        <w:rPr>
          <w:b/>
        </w:rPr>
        <w:t>[포인트 6] 원료 의약품 수급 상황 및 가격 변동 추이:</w:t>
      </w:r>
      <w:r>
        <w:t xml:space="preserve"> 원가 상승 요인에 대한 대응 능력을 평가하기 위해 원료 의약품 수급 상황 및 가격 변동 추이를 주시해야 합니다.</w:t>
      </w:r>
    </w:p>
    <w:p>
      <w:r>
        <w:t xml:space="preserve">*   </w:t>
      </w:r>
      <w:r>
        <w:rPr>
          <w:b/>
        </w:rPr>
        <w:t>[포인트 7] ESG 경영 관련 활동 및 평가 결과:</w:t>
      </w:r>
      <w:r>
        <w:t xml:space="preserve"> ESG 경영 강화를 위한 노력과 성과를 평가하고, 기업 이미지 제고 효과를 분석해야 합니다.</w:t>
      </w:r>
    </w:p>
    <w:p>
      <w:r>
        <w:t xml:space="preserve">*   </w:t>
      </w:r>
      <w:r>
        <w:rPr>
          <w:b/>
        </w:rPr>
        <w:t>[포인트 8] 재무 건전성 지표 변화 (부채비율, 유동비율 등):</w:t>
      </w:r>
      <w:r>
        <w:t xml:space="preserve"> 금리 인상에 따른 재무 부담 증가 여부를 파악하기 위해 재무 건전성 지표 변화를 면밀히 모니터링해야 합니다.</w:t>
      </w:r>
    </w:p>
    <w:p>
      <w:pPr>
        <w:pStyle w:val="Heading2"/>
      </w:pPr>
      <w:r>
        <w:rPr>
          <w:b/>
          <w:color w:val="000000"/>
          <w:sz w:val="32"/>
        </w:rPr>
        <w:t>6. 최근 뉴스 및 인사이트</w:t>
      </w:r>
    </w:p>
    <w:p>
      <w:pPr>
        <w:pStyle w:val="ListBullet"/>
      </w:pPr>
      <w:r>
        <w:t>**[뉴스 1] 동화약품, 잔탁·센소다인 등 GSK 제품 10월부터 판다 - 약사공론:** GSK 제품 판매 계약 체결은 동화약품의 OTC 포트폴리오 강화 및 매출 증대에 기여할 것으로 예상됩니다. 기존 ETC 중심에서 OTC 시장 확대를 위한 전략적 움직임으로 해석 가능합니다.</w:t>
      </w:r>
    </w:p>
    <w:p>
      <w:pPr>
        <w:pStyle w:val="ListBullet"/>
      </w:pPr>
      <w:r>
        <w:t>**[뉴스 2] 동화약품, 겨드랑이 다한증 ETC ‘에크락겔’ 출시 - 의학신문:** 에크락겔 출시를 통해 동화약품은 다한증 치료제 시장에 진입했습니다. 전문의약품(ETC) 시장에서의 경쟁력 강화 및 새로운 성장 동력 확보를 의미합니다.</w:t>
      </w:r>
    </w:p>
    <w:p>
      <w:pPr>
        <w:pStyle w:val="ListBullet"/>
      </w:pPr>
      <w:r>
        <w:t>**[뉴스 3] 동화약품, 겨드랑이 다한증 치료제 ‘에크락’ 출시 - 의협신문:** 뉴스 2와 동일한 내용입니다. 다한증 치료제 시장 진출을 알리는 기사입니다.</w:t>
      </w:r>
    </w:p>
    <w:p>
      <w:pPr>
        <w:pStyle w:val="ListBullet"/>
      </w:pPr>
      <w:r>
        <w:t>**[뉴스 4] 동화약품, 겨드랑이 다한증 치료제 에크락겔 출시 外 - 의약뉴스:** 에크락겔 출시 외 다른 소식도 포함되었을 가능성이 있습니다. 에크락겔 출시의 중요성을 낮추기 보다는, 동화약품의 다양한 활동을 보여주는 복합적인 뉴스일 가능성이 높습니다.</w:t>
      </w:r>
    </w:p>
    <w:p>
      <w:pPr>
        <w:pStyle w:val="ListBullet"/>
      </w:pPr>
      <w:r>
        <w:t>**[뉴스 5] [신제품] 동화약품, 국내 외용제 최초 겨드랑이 다한증 전문의약품 ‘에크락겔’ 출시 - 헬스코리아뉴스:** 에크락겔이 국내 최초 외용제라는 점을 강조하며, 차별성을 부각하고 있습니다. 이는 동화약품의 기술력을 입증하고 시장 선점 효과를 기대할 수 있게 합니다.</w:t>
      </w:r>
    </w:p>
    <w:p>
      <w:pPr>
        <w:pStyle w:val="ListBullet"/>
      </w:pPr>
      <w:r>
        <w:t>**[뉴스 6] 동화약품, 겨드랑이 다한증 전문약 '에크락겔' 출시..."새 치료 옵션" - 뉴스1:** 에크락겔 출시로 인해 환자들에게 새로운 치료 옵션을 제공하게 되었다는 점을 강조합니다. 이는 환자 만족도 향상 및 시장 확대에 긍정적인 영향을 미칠 수 있습니다.</w:t>
      </w:r>
    </w:p>
    <w:p>
      <w:pPr>
        <w:pStyle w:val="ListBullet"/>
      </w:pPr>
      <w:r>
        <w:t>**[뉴스 7] '국내 최초 제약사' 동화약품, 신약개발 승부수 - 팜이데일리:** 동화약품이 신약 개발에 적극적으로 투자하고 있음을 보여줍니다. 장기적인 성장 동력 확보를 위한 전략적 움직임으로, R&amp;D 투자 성과에 따라 기업 가치 상승 가능성이 높습니다.</w:t>
      </w:r>
    </w:p>
    <w:p>
      <w:pPr>
        <w:pStyle w:val="ListBullet"/>
      </w:pPr>
      <w:r>
        <w:t>**[뉴스 8] 동화약품 '판콜', 겨울 감기 시즌 강자 입증...'판콜에스' 3년 연속 판매 1위 - econovill.com:** 판콜의 꾸준한 판매량 1위는 동화약품의 안정적인 캐시카우 역할을 하고 있음을 보여줍니다. 브랜드 인지도를 바탕으로 지속적인 매출을 기대할 수 있습니다.</w:t>
      </w:r>
    </w:p>
    <w:p>
      <w:r>
        <w:t>[뉴스 9] 동화약품 ‘판콜’ 겨울철 사랑받는 국민 감기약... “다양한 증상 완화” - 천지일보:</w:t>
      </w:r>
      <w:r>
        <w:rPr>
          <w:b/>
        </w:rPr>
        <w:t xml:space="preserve"> 판콜의 효능 및 브랜드 이미지를 강조하여 소비자 인지도를 높이는 데 기여합니다. 겨울철 감기약 시장에서의 경쟁 우위를 유지하는 데 도움이 될 것입니다.</w:t>
      </w:r>
    </w:p>
    <w:p>
      <w:pPr>
        <w:pStyle w:val="ListBullet"/>
      </w:pPr>
      <w:r>
        <w:t>**[뉴스 10] 50대 임원 절반 집 보낸 동화약품...윤인호 체제 순항할까 - 아시아타임즈:** 임원진 세대교체는 조직 혁신 및 효율성 증대를 위한 노력으로 해석됩니다. 윤인호 체제의 리더십 및 경영 전략에 대한 시장의 관심도를 보여줍니다.</w:t>
      </w:r>
    </w:p>
    <w:p>
      <w:pPr>
        <w:pStyle w:val="ListBullet"/>
      </w:pPr>
      <w:r>
        <w:t>**[뉴스 11] 제약·바이오, 경영 재편 본격화...국제·동화·일동 등 오너 n 세 승진·대표 선임으로 전면 배치 - MEDI:GATE NEWS:** 동화약품 역시 오너 3세 경영 체제에 돌입했음을 알 수 있습니다. 이는 기업의 장기적인 성장 전략 및 경영 방향에 변화를 가져올 수 있습니다.</w:t>
      </w:r>
    </w:p>
    <w:p>
      <w:pPr>
        <w:pStyle w:val="ListBullet"/>
      </w:pPr>
      <w:r>
        <w:t>**[뉴스 12] 동화약품, 국내 최초 겨드랑이 다한증 외용제 ‘에크락겔’ 출시 - CNB뉴스:** 뉴스 5와 동일한 내용입니다. 에크락겔이 국내 최초 외용제라는 점을 강조하고 있습니다.</w:t>
      </w:r>
    </w:p>
    <w:p>
      <w:pPr>
        <w:pStyle w:val="ListBullet"/>
      </w:pPr>
      <w:r>
        <w:t>**[뉴스 13] 동화약품, 국내 외용제 최초 겨드랑이 다한증 전문의약품 ‘에크락겔’ 출시 - 비즈월드:** 뉴스 5와 동일한 내용입니다. 에크락겔이 국내 최초 외용제라는 점을 강조하고 있습니다.</w:t>
      </w:r>
    </w:p>
    <w:p>
      <w:pPr>
        <w:pStyle w:val="ListBullet"/>
      </w:pPr>
      <w:r>
        <w:t>**[뉴스 14] 동화약품, 에크락겔 런칭 심포지엄 개최 - 후생신보:** 에크락겔 출시를 기념하여 심포지엄을 개최함으로써 의료 전문가들에게 제품 정보를 제공하고 신뢰도를 높이는 데 기여합니다.</w:t>
      </w:r>
    </w:p>
    <w:p>
      <w:pPr>
        <w:pStyle w:val="ListBullet"/>
      </w:pPr>
      <w:r>
        <w:t>**[뉴스 15] 동화약품, 에크락겔 런칭 심포지엄 개최···“겨드랑이 다한증 치료 공백 해소” - 의사신문:** 심포지엄 개최를 통해 에크락겔이 다한증 치료 시장의 미충족 수요를 해결할 수 있다는 점을 강조합니다. 이는 제품의 시장 경쟁력을 강화하고 매출 증대에 기여할 수 있습니다.</w:t>
      </w:r>
    </w:p>
    <w:p>
      <w:pPr>
        <w:pStyle w:val="ListBullet"/>
      </w:pPr>
      <w:r>
        <w:t>**[뉴스 16] (유추) 동화약품, ESG 경영 강화 위한 노력 지속:** (주어진 뉴스 외) 최근 기업들은 ESG 경영을 강화하는 추세입니다. 동화약품 역시 ESG 경영 관련 활동을 지속적으로 추진하고 있을 가능성이 높으며, 이는 기업 이미지 제고 및 투자 유치에 긍정적인 영향을 미칠 수 있습니다.</w:t>
      </w:r>
    </w:p>
    <w:p>
      <w:pPr>
        <w:pStyle w:val="Heading2"/>
      </w:pPr>
      <w:r>
        <w:rPr>
          <w:b/>
          <w:color w:val="000000"/>
          <w:sz w:val="32"/>
        </w:rPr>
        <w:t>부록: 최근 공시 50건</w:t>
      </w:r>
    </w:p>
    <w:p>
      <w:pPr>
        <w:pStyle w:val="ListBullet"/>
      </w:pPr>
      <w:r>
        <w:t>2025-12-16 [-] 주주명부폐쇄기간또는기준일설정               (rcp_no: 20251216801735)</w:t>
      </w:r>
    </w:p>
    <w:p>
      <w:pPr>
        <w:pStyle w:val="ListBullet"/>
      </w:pPr>
      <w:r>
        <w:t>2025-11-14 [-] 분기보고서 (2025.09) (rcp_no: 20251114002370)</w:t>
      </w:r>
    </w:p>
    <w:p>
      <w:pPr>
        <w:pStyle w:val="ListBullet"/>
      </w:pPr>
      <w:r>
        <w:t>2025-11-07 [-] 공정거래자율준수프로그램운영현황(안내공시)               (rcp_no: 20251107800189)</w:t>
      </w:r>
    </w:p>
    <w:p>
      <w:pPr>
        <w:pStyle w:val="ListBullet"/>
      </w:pPr>
      <w:r>
        <w:t>2025-08-14 [-] 주식등의대량보유상황보고서(일반) (rcp_no: 20250814004397)</w:t>
      </w:r>
    </w:p>
    <w:p>
      <w:pPr>
        <w:pStyle w:val="ListBullet"/>
      </w:pPr>
      <w:r>
        <w:t>2025-08-14 [-] 반기보고서 (2025.06) (rcp_no: 20250814003817)</w:t>
      </w:r>
    </w:p>
    <w:p>
      <w:pPr>
        <w:pStyle w:val="ListBullet"/>
      </w:pPr>
      <w:r>
        <w:t>2025-07-31 [-] 공정거래자율준수프로그램운영현황(안내공시)               (rcp_no: 20250731800736)</w:t>
      </w:r>
    </w:p>
    <w:p>
      <w:pPr>
        <w:pStyle w:val="ListBullet"/>
      </w:pPr>
      <w:r>
        <w:t>2025-07-15 [-] [기재정정]신규시설투자등               (rcp_no: 20250715800419)</w:t>
      </w:r>
    </w:p>
    <w:p>
      <w:pPr>
        <w:pStyle w:val="ListBullet"/>
      </w:pPr>
      <w:r>
        <w:t>2025-06-30 [-] [기재정정]신규시설투자등               (rcp_no: 20250630800459)</w:t>
      </w:r>
    </w:p>
    <w:p>
      <w:pPr>
        <w:pStyle w:val="ListBullet"/>
      </w:pPr>
      <w:r>
        <w:t>2025-05-30 [-] 기업지배구조보고서공시               (rcp_no: 20250530801062)</w:t>
      </w:r>
    </w:p>
    <w:p>
      <w:pPr>
        <w:pStyle w:val="ListBullet"/>
      </w:pPr>
      <w:r>
        <w:t>2025-05-15 [-] 분기보고서 (2025.03) (rcp_no: 20250515001997)</w:t>
      </w:r>
    </w:p>
    <w:p>
      <w:pPr>
        <w:pStyle w:val="ListBullet"/>
      </w:pPr>
      <w:r>
        <w:t>2025-04-30 [-] 공정거래자율준수프로그램운영현황(안내공시)               (rcp_no: 20250430801121)</w:t>
      </w:r>
    </w:p>
    <w:p>
      <w:pPr>
        <w:pStyle w:val="ListBullet"/>
      </w:pPr>
      <w:r>
        <w:t>2025-04-16 [-] 최대주주등소유주식변동신고서               (rcp_no: 20250416800188)</w:t>
      </w:r>
    </w:p>
    <w:p>
      <w:pPr>
        <w:pStyle w:val="ListBullet"/>
      </w:pPr>
      <w:r>
        <w:t>2025-04-16 [-] 임원ᆞ주요주주특정증권등소유상황보고서 (rcp_no: 20250416000166)</w:t>
      </w:r>
    </w:p>
    <w:p>
      <w:pPr>
        <w:pStyle w:val="ListBullet"/>
      </w:pPr>
      <w:r>
        <w:t>2025-03-26 [-] 사외이사의선임ᆞ해임또는중도퇴임에관한신고 (rcp_no: 20250326000974)</w:t>
      </w:r>
    </w:p>
    <w:p>
      <w:pPr>
        <w:pStyle w:val="ListBullet"/>
      </w:pPr>
      <w:r>
        <w:t>2025-03-26 [-] 대표이사(대표집행임원)변경(안내공시)               (rcp_no: 20250326801292)</w:t>
      </w:r>
    </w:p>
    <w:p>
      <w:pPr>
        <w:pStyle w:val="ListBullet"/>
      </w:pPr>
      <w:r>
        <w:t>2025-03-26 [-] [기재정정]정기주주총회결과               (rcp_no: 20250326801124)</w:t>
      </w:r>
    </w:p>
    <w:p>
      <w:pPr>
        <w:pStyle w:val="ListBullet"/>
      </w:pPr>
      <w:r>
        <w:t>2025-03-26 [-] 정기주주총회결과               (rcp_no: 20250326800843)</w:t>
      </w:r>
    </w:p>
    <w:p>
      <w:pPr>
        <w:pStyle w:val="ListBullet"/>
      </w:pPr>
      <w:r>
        <w:t>2025-03-24 [-] 주식등의대량보유상황보고서(일반) (rcp_no: 20250324000567)</w:t>
      </w:r>
    </w:p>
    <w:p>
      <w:pPr>
        <w:pStyle w:val="ListBullet"/>
      </w:pPr>
      <w:r>
        <w:t>2025-03-24 [-] 최대주주등소유주식변동신고서               (rcp_no: 20250324800844)</w:t>
      </w:r>
    </w:p>
    <w:p>
      <w:pPr>
        <w:pStyle w:val="ListBullet"/>
      </w:pPr>
      <w:r>
        <w:t>2025-03-24 [-] 임원ᆞ주요주주특정증권등소유상황보고서 (rcp_no: 20250324000614)</w:t>
      </w:r>
    </w:p>
    <w:p>
      <w:pPr>
        <w:pStyle w:val="ListBullet"/>
      </w:pPr>
      <w:r>
        <w:t>2025-03-24 [-] 임원ᆞ주요주주특정증권등소유상황보고서 (rcp_no: 20250324000591)</w:t>
      </w:r>
    </w:p>
    <w:p>
      <w:pPr>
        <w:pStyle w:val="ListBullet"/>
      </w:pPr>
      <w:r>
        <w:t>2025-03-18 [-] 사업보고서 (2024.12) (rcp_no: 20250318000739)</w:t>
      </w:r>
    </w:p>
    <w:p>
      <w:pPr>
        <w:pStyle w:val="ListBullet"/>
      </w:pPr>
      <w:r>
        <w:t>2025-03-18 [-] 감사보고서제출               (rcp_no: 20250318800787)</w:t>
      </w:r>
    </w:p>
    <w:p>
      <w:pPr>
        <w:pStyle w:val="ListBullet"/>
      </w:pPr>
      <w:r>
        <w:t>2025-03-11 [-] 의결권대리행사권유참고서류 (rcp_no: 20250311000758)</w:t>
      </w:r>
    </w:p>
    <w:p>
      <w:pPr>
        <w:pStyle w:val="ListBullet"/>
      </w:pPr>
      <w:r>
        <w:t>2025-03-11 [-] 주주총회소집공고 (rcp_no: 20250311000726)</w:t>
      </w:r>
    </w:p>
    <w:p>
      <w:pPr>
        <w:pStyle w:val="ListBullet"/>
      </w:pPr>
      <w:r>
        <w:t>2025-02-24 [-] 공정거래자율준수프로그램운영현황(안내공시)               (rcp_no: 20250224801091)</w:t>
      </w:r>
    </w:p>
    <w:p>
      <w:pPr>
        <w:pStyle w:val="ListBullet"/>
      </w:pPr>
      <w:r>
        <w:t>2025-02-24 [-] 주주총회소집결의               (rcp_no: 20250224801038)</w:t>
      </w:r>
    </w:p>
    <w:p>
      <w:pPr>
        <w:pStyle w:val="ListBullet"/>
      </w:pPr>
      <w:r>
        <w:t>2025-02-24 [-] 현금ᆞ현물배당결정               (rcp_no: 20250224801052)</w:t>
      </w:r>
    </w:p>
    <w:p>
      <w:pPr>
        <w:pStyle w:val="ListBullet"/>
      </w:pPr>
      <w:r>
        <w:t>2025-02-24 [-] 매출액또는손익구조30%(대규모법인은15%)이상변경               (rcp_no: 20250224800897)</w:t>
      </w:r>
    </w:p>
    <w:p>
      <w:pPr>
        <w:pStyle w:val="ListBullet"/>
      </w:pPr>
      <w:r>
        <w:t>2025-02-14 [-] 임원ᆞ주요주주특정증권등거래계획보고서 (rcp_no: 20250214002453)</w:t>
      </w:r>
    </w:p>
    <w:p>
      <w:pPr>
        <w:pStyle w:val="ListBullet"/>
      </w:pPr>
      <w:r>
        <w:t>2025-02-14 [-] 임원ᆞ주요주주특정증권등거래계획보고서 (rcp_no: 20250214002424)</w:t>
      </w:r>
    </w:p>
    <w:p>
      <w:pPr>
        <w:pStyle w:val="ListBullet"/>
      </w:pPr>
      <w:r>
        <w:t>2025-02-14 [-] 주식등의대량보유상황보고서(일반) (rcp_no: 20250214002385)</w:t>
      </w:r>
    </w:p>
    <w:p>
      <w:pPr>
        <w:pStyle w:val="ListBullet"/>
      </w:pPr>
      <w:r>
        <w:t>2024-12-31 [-] [기재정정]신규시설투자등               (rcp_no: 20241231800215)</w:t>
      </w:r>
    </w:p>
    <w:p>
      <w:pPr>
        <w:pStyle w:val="ListBullet"/>
      </w:pPr>
      <w:r>
        <w:t>2024-12-16 [-] 주주명부폐쇄기간또는기준일설정               (rcp_no: 20241216800865)</w:t>
      </w:r>
    </w:p>
    <w:p>
      <w:pPr>
        <w:pStyle w:val="ListBullet"/>
      </w:pPr>
      <w:r>
        <w:t>2024-11-25 [-] [기재정정]주요사항보고서(타법인주식및출자증권양수결정) (rcp_no: 20241125000227)</w:t>
      </w:r>
    </w:p>
    <w:p>
      <w:pPr>
        <w:pStyle w:val="ListBullet"/>
      </w:pPr>
      <w:r>
        <w:t>2024-11-13 [-] 분기보고서 (2024.09) (rcp_no: 20241113000476)</w:t>
      </w:r>
    </w:p>
    <w:p>
      <w:pPr>
        <w:pStyle w:val="ListBullet"/>
      </w:pPr>
      <w:r>
        <w:t>2024-11-01 [-] 공정거래자율준수프로그램운영현황(안내공시)               (rcp_no: 20241101800511)</w:t>
      </w:r>
    </w:p>
    <w:p>
      <w:pPr>
        <w:pStyle w:val="ListBullet"/>
      </w:pPr>
      <w:r>
        <w:t>2024-09-13 [-] [기재정정]기업지배구조보고서공시               (rcp_no: 20240913800148)</w:t>
      </w:r>
    </w:p>
    <w:p>
      <w:pPr>
        <w:pStyle w:val="ListBullet"/>
      </w:pPr>
      <w:r>
        <w:t>2024-09-09 [-] 주요사항보고서(타법인주식및출자증권양수결정) (rcp_no: 20240906000664)</w:t>
      </w:r>
    </w:p>
    <w:p>
      <w:pPr>
        <w:pStyle w:val="ListBullet"/>
      </w:pPr>
      <w:r>
        <w:t>2024-08-14 [-] 주식등의대량보유상황보고서(일반) (rcp_no: 20240814004250)</w:t>
      </w:r>
    </w:p>
    <w:p>
      <w:pPr>
        <w:pStyle w:val="ListBullet"/>
      </w:pPr>
      <w:r>
        <w:t>2024-08-14 [-] 반기보고서 (2024.06) (rcp_no: 20240814002063)</w:t>
      </w:r>
    </w:p>
    <w:p>
      <w:pPr>
        <w:pStyle w:val="ListBullet"/>
      </w:pPr>
      <w:r>
        <w:t>2024-08-02 [-] 공정거래자율준수프로그램운영현황(안내공시)               (rcp_no: 20240802800169)</w:t>
      </w:r>
    </w:p>
    <w:p>
      <w:pPr>
        <w:pStyle w:val="ListBullet"/>
      </w:pPr>
      <w:r>
        <w:t>2024-05-31 [-] 기업지배구조보고서공시               (rcp_no: 20240531800413)</w:t>
      </w:r>
    </w:p>
    <w:p>
      <w:pPr>
        <w:pStyle w:val="ListBullet"/>
      </w:pPr>
      <w:r>
        <w:t>2024-05-16 [-] 분기보고서 (2024.03) (rcp_no: 20240516001340)</w:t>
      </w:r>
    </w:p>
    <w:p>
      <w:pPr>
        <w:pStyle w:val="ListBullet"/>
      </w:pPr>
      <w:r>
        <w:t>2024-05-03 [-] 공정거래자율준수프로그램운영현황(안내공시)               (rcp_no: 20240503800626)</w:t>
      </w:r>
    </w:p>
    <w:p>
      <w:pPr>
        <w:pStyle w:val="ListBullet"/>
      </w:pPr>
      <w:r>
        <w:t>2024-03-27 [-] 정기주주총회결과               (rcp_no: 20240327801107)</w:t>
      </w:r>
    </w:p>
    <w:p>
      <w:pPr>
        <w:pStyle w:val="ListBullet"/>
      </w:pPr>
      <w:r>
        <w:t>2024-03-19 [-] 사업보고서 (2023.12) (rcp_no: 20240319000652)</w:t>
      </w:r>
    </w:p>
    <w:p>
      <w:pPr>
        <w:pStyle w:val="ListBullet"/>
      </w:pPr>
      <w:r>
        <w:t>2024-03-19 [-] 감사보고서제출               (rcp_no: 20240319800703)</w:t>
      </w:r>
    </w:p>
    <w:p>
      <w:pPr>
        <w:pStyle w:val="ListBullet"/>
      </w:pPr>
      <w:r>
        <w:t>2024-03-12 [-] 주주총회집중일개최사유신고               (rcp_no: 20240312800731)</w:t>
      </w:r>
    </w:p>
    <w:p>
      <w:pPr>
        <w:pStyle w:val="ListBullet"/>
      </w:pPr>
      <w:r>
        <w:t>2024-03-12 [-] 의결권대리행사권유참고서류 (rcp_no: 20240312000483)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