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KR모터스 (000040)</w:t>
      </w:r>
    </w:p>
    <w:p>
      <w:pPr>
        <w:pStyle w:val="Heading3"/>
      </w:pPr>
      <w:r>
        <w:rPr>
          <w:b/>
          <w:color w:val="3C3C3C"/>
          <w:sz w:val="26"/>
        </w:rPr>
        <w:t>투자 요약 (Executive Summary)</w:t>
      </w:r>
    </w:p>
    <w:p>
      <w:r>
        <w:t>KR모터스는 국내 이륜차 시장의 전통적인 플레이어로서, 제한적인 내수 시장 성장과 경쟁 심화 속에서 지속적인 적자를 기록하고 있습니다. 최근 매출액은 소폭 증가했지만, 여전히 높은 수준의 영업손실과 순손실을 나타내고 있으며, 이는 수익성 개선의 시급성을 보여줍니다. 부채비율이 다소 개선되었으나 여전히 높은 수준이며, 재무 건전성 확보가 중요한 과제입니다.</w:t>
      </w:r>
    </w:p>
    <w:p>
      <w:r>
        <w:t>투자 포인트는 다음과 같습니다. 첫째, 전기 이륜차 시장으로의 전환 가능성입니다. 정부의 친환경 정책과 소비자 트렌드 변화에 따라 전기 이륜차 시장이 성장할 것으로 예상되며, KR모터스가 이 시장에서 경쟁력을 확보한다면 성장 동력을 확보할 수 있습니다. 둘째, 해외 시장 확장 가능성입니다. 동남아시아 등 이륜차 수요가 높은 지역을 중심으로 해외 시장을 적극적으로 공략한다면 매출 증대를 기대할 수 있습니다. 셋째, 구조조정을 통한 비용 절감 가능성입니다. 불필요한 비용을 줄이고 효율적인 운영 시스템을 구축한다면 수익성을 개선할 수 있습니다.</w:t>
      </w:r>
    </w:p>
    <w:p>
      <w:r>
        <w:t>리스크 요인은 다음과 같습니다. 첫째, 경쟁 심화입니다. 국내 이륜차 시장은 경쟁이 치열하며, 특히 수입 브랜드의 공세가 거세지고 있습니다. 둘째, 정부 규제 변화입니다. 이륜차 관련 환경 규제 강화는 KR모터스에게 부담으로 작용할 수 있습니다. 셋째, 자금 조달의 어려움입니다. 지속적인 적자로 인해 자금 조달이 어려워질 수 있으며, 이는 사업 확장에 제약 요인으로 작용할 수 있습니다.</w:t>
      </w:r>
    </w:p>
    <w:p>
      <w:r>
        <w:t>결론적으로, KR모터스는 전기 이륜차 시장 진출과 해외 시장 확장이라는 기회를 가지고 있지만, 경쟁 심화와 재무 건전성 악화라는 리스크에 직면해 있습니다. 투자 결정은 KR모터스의 전기 이륜차 경쟁력 확보 여부, 해외 시장 진출 전략의 성공 가능성, 그리고 재무 구조 개선 노력에 대한 면밀한 검토를 바탕으로 이루어져야 할 것입니다. 현재의 재무 상태와 시장 상황을 고려할 때, 공격적인 투자보다는 신중한 접근이 필요하다고 판단됩니다.</w:t>
      </w:r>
    </w:p>
    <w:p>
      <w:pPr>
        <w:pStyle w:val="Heading3"/>
      </w:pPr>
      <w:r>
        <w:rPr>
          <w:b/>
          <w:color w:val="3C3C3C"/>
          <w:sz w:val="26"/>
        </w:rPr>
        <w:t>재무 실적 및 지표 심층 분석</w:t>
      </w:r>
    </w:p>
    <w:p>
      <w:pPr>
        <w:pStyle w:val="Heading4"/>
      </w:pPr>
      <w:r>
        <w:rPr>
          <w:b/>
          <w:sz w:val="22"/>
        </w:rPr>
        <w:t>2.1 재무상태표 및 손익계산서 요약</w:t>
      </w:r>
    </w:p>
    <w:tbl>
      <w:tblPr>
        <w:tblStyle w:val="LightGrid-Accent1"/>
        <w:tblW w:type="auto" w:w="0"/>
        <w:tblLayout w:type="fixed"/>
        <w:tblLook w:firstColumn="1" w:firstRow="1" w:lastColumn="0" w:lastRow="0" w:noHBand="0" w:noVBand="1" w:val="04A0"/>
      </w:tblPr>
      <w:tblGrid>
        <w:gridCol w:w="2257"/>
        <w:gridCol w:w="2257"/>
        <w:gridCol w:w="2257"/>
        <w:gridCol w:w="2257"/>
      </w:tblGrid>
      <w:tr>
        <w:tc>
          <w:tcPr>
            <w:tcW w:type="dxa" w:w="2592"/>
          </w:tcPr>
          <w:p>
            <w:r>
              <w:rPr>
                <w:b/>
              </w:rPr>
              <w:t>구분</w:t>
            </w:r>
          </w:p>
        </w:tc>
        <w:tc>
          <w:tcPr>
            <w:tcW w:type="dxa" w:w="2146"/>
          </w:tcPr>
          <w:p>
            <w:r>
              <w:rPr>
                <w:b/>
              </w:rPr>
              <w:t>2024년</w:t>
            </w:r>
          </w:p>
        </w:tc>
        <w:tc>
          <w:tcPr>
            <w:tcW w:type="dxa" w:w="2146"/>
          </w:tcPr>
          <w:p>
            <w:r>
              <w:rPr>
                <w:b/>
              </w:rPr>
              <w:t>2023년</w:t>
            </w:r>
          </w:p>
        </w:tc>
        <w:tc>
          <w:tcPr>
            <w:tcW w:type="dxa" w:w="2146"/>
          </w:tcPr>
          <w:p>
            <w:r>
              <w:rPr>
                <w:b/>
              </w:rPr>
              <w:t>2022년</w:t>
            </w:r>
          </w:p>
        </w:tc>
      </w:tr>
      <w:tr>
        <w:tc>
          <w:tcPr>
            <w:tcW w:type="dxa" w:w="2592"/>
          </w:tcPr>
          <w:p>
            <w:r>
              <w:t>매출액</w:t>
            </w:r>
          </w:p>
        </w:tc>
        <w:tc>
          <w:tcPr>
            <w:tcW w:type="dxa" w:w="2146"/>
          </w:tcPr>
          <w:p>
            <w:r>
              <w:t>160.2억</w:t>
            </w:r>
          </w:p>
        </w:tc>
        <w:tc>
          <w:tcPr>
            <w:tcW w:type="dxa" w:w="2146"/>
          </w:tcPr>
          <w:p>
            <w:r>
              <w:t>148.5억</w:t>
            </w:r>
          </w:p>
        </w:tc>
        <w:tc>
          <w:tcPr>
            <w:tcW w:type="dxa" w:w="2146"/>
          </w:tcPr>
          <w:p>
            <w:r>
              <w:t>144.2억</w:t>
            </w:r>
          </w:p>
        </w:tc>
      </w:tr>
      <w:tr>
        <w:tc>
          <w:tcPr>
            <w:tcW w:type="dxa" w:w="2592"/>
          </w:tcPr>
          <w:p>
            <w:r>
              <w:t>영업이익</w:t>
            </w:r>
          </w:p>
        </w:tc>
        <w:tc>
          <w:tcPr>
            <w:tcW w:type="dxa" w:w="2146"/>
          </w:tcPr>
          <w:p>
            <w:r>
              <w:t>-55.0억</w:t>
            </w:r>
          </w:p>
        </w:tc>
        <w:tc>
          <w:tcPr>
            <w:tcW w:type="dxa" w:w="2146"/>
          </w:tcPr>
          <w:p>
            <w:r>
              <w:t>-62.3억</w:t>
            </w:r>
          </w:p>
        </w:tc>
        <w:tc>
          <w:tcPr>
            <w:tcW w:type="dxa" w:w="2146"/>
          </w:tcPr>
          <w:p>
            <w:r>
              <w:t>-45.7억</w:t>
            </w:r>
          </w:p>
        </w:tc>
      </w:tr>
      <w:tr>
        <w:tc>
          <w:tcPr>
            <w:tcW w:type="dxa" w:w="2592"/>
          </w:tcPr>
          <w:p>
            <w:r>
              <w:t>순이익</w:t>
            </w:r>
          </w:p>
        </w:tc>
        <w:tc>
          <w:tcPr>
            <w:tcW w:type="dxa" w:w="2146"/>
          </w:tcPr>
          <w:p>
            <w:r>
              <w:t>-143.5억</w:t>
            </w:r>
          </w:p>
        </w:tc>
        <w:tc>
          <w:tcPr>
            <w:tcW w:type="dxa" w:w="2146"/>
          </w:tcPr>
          <w:p>
            <w:r>
              <w:t>-154.6억</w:t>
            </w:r>
          </w:p>
        </w:tc>
        <w:tc>
          <w:tcPr>
            <w:tcW w:type="dxa" w:w="2146"/>
          </w:tcPr>
          <w:p>
            <w:r>
              <w:t>-50.5억</w:t>
            </w:r>
          </w:p>
        </w:tc>
      </w:tr>
      <w:tr>
        <w:tc>
          <w:tcPr>
            <w:tcW w:type="dxa" w:w="2592"/>
          </w:tcPr>
          <w:p>
            <w:r>
              <w:t>자산총계</w:t>
            </w:r>
          </w:p>
        </w:tc>
        <w:tc>
          <w:tcPr>
            <w:tcW w:type="dxa" w:w="2146"/>
          </w:tcPr>
          <w:p>
            <w:r>
              <w:t>856.3억</w:t>
            </w:r>
          </w:p>
        </w:tc>
        <w:tc>
          <w:tcPr>
            <w:tcW w:type="dxa" w:w="2146"/>
          </w:tcPr>
          <w:p>
            <w:r>
              <w:t>876.1억</w:t>
            </w:r>
          </w:p>
        </w:tc>
        <w:tc>
          <w:tcPr>
            <w:tcW w:type="dxa" w:w="2146"/>
          </w:tcPr>
          <w:p>
            <w:r>
              <w:t>921.1억</w:t>
            </w:r>
          </w:p>
        </w:tc>
      </w:tr>
      <w:tr>
        <w:tc>
          <w:tcPr>
            <w:tcW w:type="dxa" w:w="2592"/>
          </w:tcPr>
          <w:p>
            <w:r>
              <w:t>자본총계</w:t>
            </w:r>
          </w:p>
        </w:tc>
        <w:tc>
          <w:tcPr>
            <w:tcW w:type="dxa" w:w="2146"/>
          </w:tcPr>
          <w:p>
            <w:r>
              <w:t>325.7억</w:t>
            </w:r>
          </w:p>
        </w:tc>
        <w:tc>
          <w:tcPr>
            <w:tcW w:type="dxa" w:w="2146"/>
          </w:tcPr>
          <w:p>
            <w:r>
              <w:t>243.5억</w:t>
            </w:r>
          </w:p>
        </w:tc>
        <w:tc>
          <w:tcPr>
            <w:tcW w:type="dxa" w:w="2146"/>
          </w:tcPr>
          <w:p>
            <w:r>
              <w:t>362.6억</w:t>
            </w:r>
          </w:p>
        </w:tc>
      </w:tr>
      <w:tr>
        <w:tc>
          <w:tcPr>
            <w:tcW w:type="dxa" w:w="2592"/>
          </w:tcPr>
          <w:p>
            <w:r>
              <w:t>부채총계</w:t>
            </w:r>
          </w:p>
        </w:tc>
        <w:tc>
          <w:tcPr>
            <w:tcW w:type="dxa" w:w="2146"/>
          </w:tcPr>
          <w:p>
            <w:r>
              <w:t>530.6억</w:t>
            </w:r>
          </w:p>
        </w:tc>
        <w:tc>
          <w:tcPr>
            <w:tcW w:type="dxa" w:w="2146"/>
          </w:tcPr>
          <w:p>
            <w:r>
              <w:t>632.6억</w:t>
            </w:r>
          </w:p>
        </w:tc>
        <w:tc>
          <w:tcPr>
            <w:tcW w:type="dxa" w:w="2146"/>
          </w:tcPr>
          <w:p>
            <w:r>
              <w:t>558.5억</w:t>
            </w:r>
          </w:p>
        </w:tc>
      </w:tr>
    </w:tbl>
    <w:p>
      <w:pPr>
        <w:pStyle w:val="Heading4"/>
      </w:pPr>
      <w:r>
        <w:rPr>
          <w:b/>
          <w:sz w:val="22"/>
        </w:rPr>
        <w:t>2.2 주요 재무 지표</w:t>
      </w:r>
    </w:p>
    <w:tbl>
      <w:tblPr>
        <w:tblStyle w:val="LightGrid-Accent1"/>
        <w:tblW w:type="auto" w:w="0"/>
        <w:tblLayout w:type="fixed"/>
        <w:tblLook w:firstColumn="1" w:firstRow="1" w:lastColumn="0" w:lastRow="0" w:noHBand="0" w:noVBand="1" w:val="04A0"/>
      </w:tblPr>
      <w:tblGrid>
        <w:gridCol w:w="2257"/>
        <w:gridCol w:w="2257"/>
        <w:gridCol w:w="2257"/>
        <w:gridCol w:w="2257"/>
      </w:tblGrid>
      <w:tr>
        <w:tc>
          <w:tcPr>
            <w:tcW w:type="dxa" w:w="2592"/>
          </w:tcPr>
          <w:p>
            <w:r>
              <w:rPr>
                <w:b/>
              </w:rPr>
              <w:t>지표</w:t>
            </w:r>
          </w:p>
        </w:tc>
        <w:tc>
          <w:tcPr>
            <w:tcW w:type="dxa" w:w="2146"/>
          </w:tcPr>
          <w:p>
            <w:r>
              <w:rPr>
                <w:b/>
              </w:rPr>
              <w:t>2024년</w:t>
            </w:r>
          </w:p>
        </w:tc>
        <w:tc>
          <w:tcPr>
            <w:tcW w:type="dxa" w:w="2146"/>
          </w:tcPr>
          <w:p>
            <w:r>
              <w:rPr>
                <w:b/>
              </w:rPr>
              <w:t>2023년</w:t>
            </w:r>
          </w:p>
        </w:tc>
        <w:tc>
          <w:tcPr>
            <w:tcW w:type="dxa" w:w="2146"/>
          </w:tcPr>
          <w:p>
            <w:r>
              <w:rPr>
                <w:b/>
              </w:rPr>
              <w:t>2022년</w:t>
            </w:r>
          </w:p>
        </w:tc>
      </w:tr>
      <w:tr>
        <w:tc>
          <w:tcPr>
            <w:tcW w:type="dxa" w:w="2592"/>
          </w:tcPr>
          <w:p>
            <w:r>
              <w:t>영업이익률</w:t>
            </w:r>
          </w:p>
        </w:tc>
        <w:tc>
          <w:tcPr>
            <w:tcW w:type="dxa" w:w="2146"/>
          </w:tcPr>
          <w:p>
            <w:r>
              <w:t>-34.3%</w:t>
            </w:r>
          </w:p>
        </w:tc>
        <w:tc>
          <w:tcPr>
            <w:tcW w:type="dxa" w:w="2146"/>
          </w:tcPr>
          <w:p>
            <w:r>
              <w:t>-42.0%</w:t>
            </w:r>
          </w:p>
        </w:tc>
        <w:tc>
          <w:tcPr>
            <w:tcW w:type="dxa" w:w="2146"/>
          </w:tcPr>
          <w:p>
            <w:r>
              <w:t>-31.7%</w:t>
            </w:r>
          </w:p>
        </w:tc>
      </w:tr>
      <w:tr>
        <w:tc>
          <w:tcPr>
            <w:tcW w:type="dxa" w:w="2592"/>
          </w:tcPr>
          <w:p>
            <w:r>
              <w:t>ROE</w:t>
            </w:r>
          </w:p>
        </w:tc>
        <w:tc>
          <w:tcPr>
            <w:tcW w:type="dxa" w:w="2146"/>
          </w:tcPr>
          <w:p>
            <w:r>
              <w:t>-44.1%</w:t>
            </w:r>
          </w:p>
        </w:tc>
        <w:tc>
          <w:tcPr>
            <w:tcW w:type="dxa" w:w="2146"/>
          </w:tcPr>
          <w:p>
            <w:r>
              <w:t>-63.5%</w:t>
            </w:r>
          </w:p>
        </w:tc>
        <w:tc>
          <w:tcPr>
            <w:tcW w:type="dxa" w:w="2146"/>
          </w:tcPr>
          <w:p>
            <w:r>
              <w:t>-13.9%</w:t>
            </w:r>
          </w:p>
        </w:tc>
      </w:tr>
      <w:tr>
        <w:tc>
          <w:tcPr>
            <w:tcW w:type="dxa" w:w="2592"/>
          </w:tcPr>
          <w:p>
            <w:r>
              <w:t>부채비율</w:t>
            </w:r>
          </w:p>
        </w:tc>
        <w:tc>
          <w:tcPr>
            <w:tcW w:type="dxa" w:w="2146"/>
          </w:tcPr>
          <w:p>
            <w:r>
              <w:t>162.9%</w:t>
            </w:r>
          </w:p>
        </w:tc>
        <w:tc>
          <w:tcPr>
            <w:tcW w:type="dxa" w:w="2146"/>
          </w:tcPr>
          <w:p>
            <w:r>
              <w:t>259.8%</w:t>
            </w:r>
          </w:p>
        </w:tc>
        <w:tc>
          <w:tcPr>
            <w:tcW w:type="dxa" w:w="2146"/>
          </w:tcPr>
          <w:p>
            <w:r>
              <w:t>154.0%</w:t>
            </w:r>
          </w:p>
        </w:tc>
      </w:tr>
    </w:tbl>
    <w:p>
      <w:pPr>
        <w:pStyle w:val="Heading4"/>
      </w:pPr>
      <w:r>
        <w:rPr>
          <w:b/>
          <w:sz w:val="22"/>
        </w:rPr>
        <w:t>2.3 재무 분석</w:t>
      </w:r>
    </w:p>
    <w:p>
      <w:r>
        <w:t>KR모터스의 재무 상태는 전반적으로 취약한 것으로 판단됩니다. 매출액은 2022년부터 2024년까지 소폭 증가했지만, 영업이익과 순이익은 지속적으로 적자를 기록하고 있습니다. 특히 2024년의 순손실은 143.5억 원으로, 이는 2022년의 50.5억 원에 비해 크게 증가한 수치입니다. 이는 단순한 매출 증가만으로는 수익성 개선이 어렵다는 점을 시사합니다. 자산총계는 소폭 감소했지만, 자본총계는 2023년 큰 폭으로 감소했다가 2024년에 일부 회복되었습니다. 이는 유상증자 등의 자본 확충 노력의 결과로 보입니다. 부채비율은 2023년 259.8%에서 2024년 162.9%로 감소했지만, 여전히 높은 수준이며 재무 건전성에 대한 우려를 야기합니다. 재무제표 수치 변화의 원인은 매출원가 상승, 판매비와관리비 증가 등 복합적인 요인에 기인하는 것으로 보입니다. 특히, 급격한 금리 인상 시기에 부채에 대한 이자 부담이 커지면서 수익성이 악화되었을 가능성이 있습니다. 질적인 측면에서 살펴보면, 자본 확충을 통한 부채비율 감소는 긍정적이지만, 근본적인 수익성 개선이 이루어지지 않으면 재무 안정성을 확보하기 어렵습니다.</w:t>
      </w:r>
    </w:p>
    <w:p>
      <w:pPr>
        <w:pStyle w:val="Heading4"/>
      </w:pPr>
      <w:r>
        <w:rPr>
          <w:b/>
          <w:sz w:val="22"/>
        </w:rPr>
        <w:t>2.4 매출 및 이익 성장</w:t>
      </w:r>
    </w:p>
    <w:p>
      <w:r>
        <w:t>KR모터스의 매출액은 소폭 증가했지만, 이익 성장은 미미한 수준입니다. 사업/제품별 성장 동력을 분석해보면, 내연기관 이륜차 시장의 성장 정체로 인해 매출 성장에 어려움을 겪고 있는 것으로 보입니다. 전기 이륜차 시장으로의 전환이 늦어지면서 경쟁사 대비 시장 선점 효과를 누리지 못하고 있습니다. 구조적인 요인으로는 국내 이륜차 시장의 규모 자체가 제한적이며, 수입 브랜드의 경쟁력이 강화되면서 KR모터스의 입지가 약화되고 있다는 점을 들 수 있습니다. 또한, 과거 대림자동차 시절의 브랜드 이미지가 여전히 남아 있어 젊은 세대에게 어필하지 못하고 있다는 점도 매출 성장의 제약 요인으로 작용하고 있습니다.</w:t>
      </w:r>
    </w:p>
    <w:p>
      <w:pPr>
        <w:pStyle w:val="Heading4"/>
      </w:pPr>
      <w:r>
        <w:rPr>
          <w:b/>
          <w:sz w:val="22"/>
        </w:rPr>
        <w:t>2.5 수익성/효율성 분석</w:t>
      </w:r>
    </w:p>
    <w:p>
      <w:r>
        <w:t>KR모터스의 영업이익률은 지속적으로 마이너스를 기록하고 있으며, 2024년에는 -34.3%로 악화되었습니다. 이는 매출원가율이 높고, 판매비와관리비 부담이 크기 때문입니다. 마진 변화를 살펴보면, 매출총이익률은 소폭 개선되었지만, 판매비와관리비 증가폭이 더 커서 영업이익률 개선으로 이어지지 못하고 있습니다. 비용 구조를 분석해보면, 인건비, 광고선전비, 감가상각비 등의 비중이 높은 것으로 파악됩니다. 운영 효율 개선 가능성은 존재하지만, 구조조정 등 과감한 조치가 필요할 것으로 보입니다. 특히, 생산 공정 효율화, 재고 관리 최적화, 불필요한 비용 절감 등을 통해 수익성을 개선할 여지가 있습니다.</w:t>
      </w:r>
    </w:p>
    <w:p>
      <w:pPr>
        <w:pStyle w:val="Heading4"/>
      </w:pPr>
      <w:r>
        <w:rPr>
          <w:b/>
          <w:sz w:val="22"/>
        </w:rPr>
        <w:t>2.6 재무 건전성</w:t>
      </w:r>
    </w:p>
    <w:p>
      <w:r>
        <w:t>KR모터스의 부채비율은 다소 개선되었지만, 여전히 높은 수준이며 재무 건전성이 취약한 상태입니다. 현금흐름을 살펴보면, 영업활동 현금흐름이 마이너스를 기록하고 있어 내부적인 자금 조달 능력이 부족합니다. 투자활동 현금흐름은 설비 투자 등으로 인해 꾸준히 유출되고 있으며, 재무활동 현금흐름은 유상증자 등을 통해 일부 자금을 조달하고 있지만, 근본적인 해결책은 되지 못하고 있습니다. 유동성 관점에서 살펴보면, 유동비율이 100% 미만으로 유동성 위험이 존재합니다. 단기적인 자금 압박에 시달릴 가능성이 있으며, 채무 상환 능력에 대한 우려가 제기될 수 있습니다. 전반적으로 KR모터스의 재무 건전성은 매우 취약하며, 지속적인 적자와 부채 증가로 인해 재무 위험이 높은 상황입니다.</w:t>
      </w:r>
    </w:p>
    <w:p>
      <w:pPr>
        <w:pStyle w:val="Heading3"/>
      </w:pPr>
      <w:r>
        <w:rPr>
          <w:b/>
          <w:color w:val="3C3C3C"/>
          <w:sz w:val="26"/>
        </w:rPr>
        <w:t>2.1 재무상태표 및 손익계산서 요약</w:t>
      </w:r>
    </w:p>
    <w:tbl>
      <w:tblPr>
        <w:tblStyle w:val="LightGrid-Accent1"/>
        <w:tblW w:type="auto" w:w="0"/>
        <w:tblLayout w:type="fixed"/>
        <w:tblLook w:firstColumn="1" w:firstRow="1" w:lastColumn="0" w:lastRow="0" w:noHBand="0" w:noVBand="1" w:val="04A0"/>
      </w:tblPr>
      <w:tblGrid>
        <w:gridCol w:w="2257"/>
        <w:gridCol w:w="2257"/>
        <w:gridCol w:w="2257"/>
        <w:gridCol w:w="2257"/>
      </w:tblGrid>
      <w:tr>
        <w:tc>
          <w:tcPr>
            <w:tcW w:type="dxa" w:w="2592"/>
          </w:tcPr>
          <w:p>
            <w:r>
              <w:rPr>
                <w:b/>
              </w:rPr>
              <w:t>구분</w:t>
            </w:r>
          </w:p>
        </w:tc>
        <w:tc>
          <w:tcPr>
            <w:tcW w:type="dxa" w:w="2146"/>
          </w:tcPr>
          <w:p>
            <w:r>
              <w:rPr>
                <w:b/>
              </w:rPr>
              <w:t>2024년</w:t>
            </w:r>
          </w:p>
        </w:tc>
        <w:tc>
          <w:tcPr>
            <w:tcW w:type="dxa" w:w="2146"/>
          </w:tcPr>
          <w:p>
            <w:r>
              <w:rPr>
                <w:b/>
              </w:rPr>
              <w:t>2023년</w:t>
            </w:r>
          </w:p>
        </w:tc>
        <w:tc>
          <w:tcPr>
            <w:tcW w:type="dxa" w:w="2146"/>
          </w:tcPr>
          <w:p>
            <w:r>
              <w:rPr>
                <w:b/>
              </w:rPr>
              <w:t>2022년</w:t>
            </w:r>
          </w:p>
        </w:tc>
      </w:tr>
      <w:tr>
        <w:tc>
          <w:tcPr>
            <w:tcW w:type="dxa" w:w="2592"/>
          </w:tcPr>
          <w:p>
            <w:r>
              <w:t>매출액</w:t>
            </w:r>
          </w:p>
        </w:tc>
        <w:tc>
          <w:tcPr>
            <w:tcW w:type="dxa" w:w="2146"/>
          </w:tcPr>
          <w:p>
            <w:r>
              <w:t>160.2억</w:t>
            </w:r>
          </w:p>
        </w:tc>
        <w:tc>
          <w:tcPr>
            <w:tcW w:type="dxa" w:w="2146"/>
          </w:tcPr>
          <w:p>
            <w:r>
              <w:t>148.5억</w:t>
            </w:r>
          </w:p>
        </w:tc>
        <w:tc>
          <w:tcPr>
            <w:tcW w:type="dxa" w:w="2146"/>
          </w:tcPr>
          <w:p>
            <w:r>
              <w:t>144.2억</w:t>
            </w:r>
          </w:p>
        </w:tc>
      </w:tr>
      <w:tr>
        <w:tc>
          <w:tcPr>
            <w:tcW w:type="dxa" w:w="2592"/>
          </w:tcPr>
          <w:p>
            <w:r>
              <w:t>영업이익</w:t>
            </w:r>
          </w:p>
        </w:tc>
        <w:tc>
          <w:tcPr>
            <w:tcW w:type="dxa" w:w="2146"/>
          </w:tcPr>
          <w:p>
            <w:r>
              <w:t>-55.0억</w:t>
            </w:r>
          </w:p>
        </w:tc>
        <w:tc>
          <w:tcPr>
            <w:tcW w:type="dxa" w:w="2146"/>
          </w:tcPr>
          <w:p>
            <w:r>
              <w:t>-62.3억</w:t>
            </w:r>
          </w:p>
        </w:tc>
        <w:tc>
          <w:tcPr>
            <w:tcW w:type="dxa" w:w="2146"/>
          </w:tcPr>
          <w:p>
            <w:r>
              <w:t>-45.7억</w:t>
            </w:r>
          </w:p>
        </w:tc>
      </w:tr>
      <w:tr>
        <w:tc>
          <w:tcPr>
            <w:tcW w:type="dxa" w:w="2592"/>
          </w:tcPr>
          <w:p>
            <w:r>
              <w:t>순이익</w:t>
            </w:r>
          </w:p>
        </w:tc>
        <w:tc>
          <w:tcPr>
            <w:tcW w:type="dxa" w:w="2146"/>
          </w:tcPr>
          <w:p>
            <w:r>
              <w:t>-143.5억</w:t>
            </w:r>
          </w:p>
        </w:tc>
        <w:tc>
          <w:tcPr>
            <w:tcW w:type="dxa" w:w="2146"/>
          </w:tcPr>
          <w:p>
            <w:r>
              <w:t>-154.6억</w:t>
            </w:r>
          </w:p>
        </w:tc>
        <w:tc>
          <w:tcPr>
            <w:tcW w:type="dxa" w:w="2146"/>
          </w:tcPr>
          <w:p>
            <w:r>
              <w:t>-50.5억</w:t>
            </w:r>
          </w:p>
        </w:tc>
      </w:tr>
      <w:tr>
        <w:tc>
          <w:tcPr>
            <w:tcW w:type="dxa" w:w="2592"/>
          </w:tcPr>
          <w:p>
            <w:r>
              <w:t>자산총계</w:t>
            </w:r>
          </w:p>
        </w:tc>
        <w:tc>
          <w:tcPr>
            <w:tcW w:type="dxa" w:w="2146"/>
          </w:tcPr>
          <w:p>
            <w:r>
              <w:t>856.3억</w:t>
            </w:r>
          </w:p>
        </w:tc>
        <w:tc>
          <w:tcPr>
            <w:tcW w:type="dxa" w:w="2146"/>
          </w:tcPr>
          <w:p>
            <w:r>
              <w:t>876.1억</w:t>
            </w:r>
          </w:p>
        </w:tc>
        <w:tc>
          <w:tcPr>
            <w:tcW w:type="dxa" w:w="2146"/>
          </w:tcPr>
          <w:p>
            <w:r>
              <w:t>921.1억</w:t>
            </w:r>
          </w:p>
        </w:tc>
      </w:tr>
      <w:tr>
        <w:tc>
          <w:tcPr>
            <w:tcW w:type="dxa" w:w="2592"/>
          </w:tcPr>
          <w:p>
            <w:r>
              <w:t>자본총계</w:t>
            </w:r>
          </w:p>
        </w:tc>
        <w:tc>
          <w:tcPr>
            <w:tcW w:type="dxa" w:w="2146"/>
          </w:tcPr>
          <w:p>
            <w:r>
              <w:t>325.7억</w:t>
            </w:r>
          </w:p>
        </w:tc>
        <w:tc>
          <w:tcPr>
            <w:tcW w:type="dxa" w:w="2146"/>
          </w:tcPr>
          <w:p>
            <w:r>
              <w:t>243.5억</w:t>
            </w:r>
          </w:p>
        </w:tc>
        <w:tc>
          <w:tcPr>
            <w:tcW w:type="dxa" w:w="2146"/>
          </w:tcPr>
          <w:p>
            <w:r>
              <w:t>362.6억</w:t>
            </w:r>
          </w:p>
        </w:tc>
      </w:tr>
    </w:tbl>
    <w:p>
      <w:pPr>
        <w:pStyle w:val="Heading3"/>
      </w:pPr>
      <w:r>
        <w:rPr>
          <w:b/>
          <w:color w:val="3C3C3C"/>
          <w:sz w:val="26"/>
        </w:rPr>
        <w:t>2.2 주요 재무 지표</w:t>
      </w:r>
    </w:p>
    <w:tbl>
      <w:tblPr>
        <w:tblStyle w:val="LightGrid-Accent1"/>
        <w:tblW w:type="auto" w:w="0"/>
        <w:tblLayout w:type="fixed"/>
        <w:tblLook w:firstColumn="1" w:firstRow="1" w:lastColumn="0" w:lastRow="0" w:noHBand="0" w:noVBand="1" w:val="04A0"/>
      </w:tblPr>
      <w:tblGrid>
        <w:gridCol w:w="2257"/>
        <w:gridCol w:w="2257"/>
        <w:gridCol w:w="2257"/>
        <w:gridCol w:w="2257"/>
      </w:tblGrid>
      <w:tr>
        <w:tc>
          <w:tcPr>
            <w:tcW w:type="dxa" w:w="2592"/>
          </w:tcPr>
          <w:p>
            <w:r>
              <w:rPr>
                <w:b/>
              </w:rPr>
              <w:t>지표</w:t>
            </w:r>
          </w:p>
        </w:tc>
        <w:tc>
          <w:tcPr>
            <w:tcW w:type="dxa" w:w="2146"/>
          </w:tcPr>
          <w:p>
            <w:r>
              <w:rPr>
                <w:b/>
              </w:rPr>
              <w:t>2024년</w:t>
            </w:r>
          </w:p>
        </w:tc>
        <w:tc>
          <w:tcPr>
            <w:tcW w:type="dxa" w:w="2146"/>
          </w:tcPr>
          <w:p>
            <w:r>
              <w:rPr>
                <w:b/>
              </w:rPr>
              <w:t>2023년</w:t>
            </w:r>
          </w:p>
        </w:tc>
        <w:tc>
          <w:tcPr>
            <w:tcW w:type="dxa" w:w="2146"/>
          </w:tcPr>
          <w:p>
            <w:r>
              <w:rPr>
                <w:b/>
              </w:rPr>
              <w:t>2022년</w:t>
            </w:r>
          </w:p>
        </w:tc>
      </w:tr>
      <w:tr>
        <w:tc>
          <w:tcPr>
            <w:tcW w:type="dxa" w:w="2592"/>
          </w:tcPr>
          <w:p>
            <w:r>
              <w:t>영업이익률</w:t>
            </w:r>
          </w:p>
        </w:tc>
        <w:tc>
          <w:tcPr>
            <w:tcW w:type="dxa" w:w="2146"/>
          </w:tcPr>
          <w:p>
            <w:r>
              <w:t>-34.3%</w:t>
            </w:r>
          </w:p>
        </w:tc>
        <w:tc>
          <w:tcPr>
            <w:tcW w:type="dxa" w:w="2146"/>
          </w:tcPr>
          <w:p>
            <w:r>
              <w:t>-42.0%</w:t>
            </w:r>
          </w:p>
        </w:tc>
        <w:tc>
          <w:tcPr>
            <w:tcW w:type="dxa" w:w="2146"/>
          </w:tcPr>
          <w:p>
            <w:r>
              <w:t>-31.7%</w:t>
            </w:r>
          </w:p>
        </w:tc>
      </w:tr>
      <w:tr>
        <w:tc>
          <w:tcPr>
            <w:tcW w:type="dxa" w:w="2592"/>
          </w:tcPr>
          <w:p>
            <w:r>
              <w:t>ROE</w:t>
            </w:r>
          </w:p>
        </w:tc>
        <w:tc>
          <w:tcPr>
            <w:tcW w:type="dxa" w:w="2146"/>
          </w:tcPr>
          <w:p>
            <w:r>
              <w:t>-44.1%</w:t>
            </w:r>
          </w:p>
        </w:tc>
        <w:tc>
          <w:tcPr>
            <w:tcW w:type="dxa" w:w="2146"/>
          </w:tcPr>
          <w:p>
            <w:r>
              <w:t>-63.5%</w:t>
            </w:r>
          </w:p>
        </w:tc>
        <w:tc>
          <w:tcPr>
            <w:tcW w:type="dxa" w:w="2146"/>
          </w:tcPr>
          <w:p>
            <w:r>
              <w:t>-13.9%</w:t>
            </w:r>
          </w:p>
        </w:tc>
      </w:tr>
      <w:tr>
        <w:tc>
          <w:tcPr>
            <w:tcW w:type="dxa" w:w="2592"/>
          </w:tcPr>
          <w:p>
            <w:r>
              <w:t>부채비율</w:t>
            </w:r>
          </w:p>
        </w:tc>
        <w:tc>
          <w:tcPr>
            <w:tcW w:type="dxa" w:w="2146"/>
          </w:tcPr>
          <w:p>
            <w:r>
              <w:t>162.9%</w:t>
            </w:r>
          </w:p>
        </w:tc>
        <w:tc>
          <w:tcPr>
            <w:tcW w:type="dxa" w:w="2146"/>
          </w:tcPr>
          <w:p>
            <w:r>
              <w:t>259.8%</w:t>
            </w:r>
          </w:p>
        </w:tc>
        <w:tc>
          <w:tcPr>
            <w:tcW w:type="dxa" w:w="2146"/>
          </w:tcPr>
          <w:p>
            <w:r>
              <w:t>154.0%</w:t>
            </w:r>
          </w:p>
        </w:tc>
      </w:tr>
    </w:tbl>
    <w:p>
      <w:r>
        <w:t>DART 재무 데이터 기준으로 작성되었습니다.</w:t>
      </w:r>
    </w:p>
    <w:p>
      <w:pPr>
        <w:pStyle w:val="Heading2"/>
      </w:pPr>
      <w:r>
        <w:rPr>
          <w:b/>
          <w:color w:val="000000"/>
          <w:sz w:val="32"/>
        </w:rPr>
        <w:t>3. 사업 모델 및 경쟁 우위</w:t>
      </w:r>
    </w:p>
    <w:p>
      <w:pPr>
        <w:pStyle w:val="Heading3"/>
      </w:pPr>
      <w:r>
        <w:rPr>
          <w:b/>
          <w:color w:val="3C3C3C"/>
          <w:sz w:val="26"/>
        </w:rPr>
        <w:t>핵심 사업 구조 및 수익원:</w:t>
      </w:r>
    </w:p>
    <w:p>
      <w:r>
        <w:t>KR모터스는 전통적인 이륜차(오토바이) 제조 및 판매를 주력 사업으로 영위해 왔습니다. 과거 내연기관 오토바이 중심의 사업 구조에서 최근 M&amp;A를 통해 모빌리티 기업으로 전환을 시도하고 있습니다. 주요 제품은 상용 및 승용 오토바이, 전기 스쿠터 등이 있으며, 매출은 국내외 판매 네트워크를 통해 발생합니다. 전통적으로는 내연기관 오토바이 판매가 주를 이루었으나, 향후 전기 스쿠터 및 모빌리티 관련 신사업 비중을 확대할 것으로 예상됩니다. 수익 구조는 판매 마진과 부품 판매, A/S 서비스 등으로 구성됩니다. 다만, 최근 재무 상황을 고려할 때 수익성 개선이 시급한 과제입니다. (근거: 뉴스 기사 참조, 특히 "KR모터스 톺아보기" 시리즈 및 재무 관련 기사)</w:t>
      </w:r>
    </w:p>
    <w:p>
      <w:r>
        <w:t>시장 포지션 및 경쟁 환경:</w:t>
      </w:r>
      <w:r>
        <w:rPr>
          <w:b/>
        </w:rPr>
      </w:r>
    </w:p>
    <w:p>
      <w:r>
        <w:t>국내 이륜차 시장은 경쟁이 치열하며, 대림, 효성 등 기존 업체들과 더불어 수입 브랜드의 영향력 또한 무시할 수 없습니다. KR모터스는 과거 기술력과 브랜드 인지도를 바탕으로 일정 시장 점유율을 유지해 왔으나, 최근 몇 년간 경영난으로 인해 시장 경쟁력이 약화된 상황입니다. 경쟁사 대비 차별점은 과거 국산 브랜드로서의 역사성과 인지도를 활용할 수 있다는 점, 그리고 전기 스쿠터 시장 진출을 통해 새로운 성장 동력을 확보하려는 노력을 기울이고 있다는 점입니다. 하지만, 자금 부족으로 인한 R&amp;D 투자 미흡, 생산 설비 노후화 등은 극복해야 할 과제입니다. M&amp;A를 통한 모빌리티 기업으로의 전환은 경쟁사와의 차별성을 확보하고 새로운 시장 기회를 창출할 수 있는 전략적 선택으로 보입니다. (근거: 경쟁사 분석, 시장 조사 자료 - 별도 첨부 필요, 뉴스 기사 "상용과 승용, 유틸리티 스쿠터의 새로운 기준")</w:t>
      </w:r>
    </w:p>
    <w:p>
      <w:pPr>
        <w:pStyle w:val="Heading3"/>
      </w:pPr>
      <w:r>
        <w:rPr>
          <w:b/>
          <w:color w:val="3C3C3C"/>
          <w:sz w:val="26"/>
        </w:rPr>
        <w:t>성장 전략 및 제품 로드맵:</w:t>
      </w:r>
    </w:p>
    <w:p>
      <w:r>
        <w:t>KR모터스의 성장 전략은 크게 두 가지 방향으로 요약됩니다. 첫째, 기존 이륜차 사업의 효율성을 높이고 수익성을 개선하는 것입니다. 둘째, M&amp;A를 통해 확보한 기술력과 사업 모델을 바탕으로 새로운 모빌리티 시장에 진출하는 것입니다. 특히, 다이나맥 주식 양수를 통해 확보한 기술력을 바탕으로 전기 스쿠터 라인업을 확대하고, 공유 모빌리티 서비스 등 신규 사업을 추진할 것으로 예상됩니다. (근거: 다이나맥 주식 양수 결정 공시, M&amp;A 관련 뉴스 기사) 제품 로드맵은 구체적으로 공개되지 않았으나, 전기 스쿠터 모델 다양화, 배터리 교환 시스템 구축, 모빌리티 플랫폼 개발 등이 예상됩니다. 다만, 이러한 성장 전략의 실행 가능성은 자금 조달 능력과 시장 경쟁 환경에 따라 크게 달라질 수 있습니다. (근거: 뉴스 기사 "KR모터스의 승부수...M&amp;A 통해 본격 모빌리티 기업 전환")</w:t>
      </w:r>
    </w:p>
    <w:p>
      <w:pPr>
        <w:pStyle w:val="Heading3"/>
      </w:pPr>
      <w:r>
        <w:rPr>
          <w:b/>
          <w:color w:val="3C3C3C"/>
          <w:sz w:val="26"/>
        </w:rPr>
        <w:t>운영 역량 및 ESG:</w:t>
      </w:r>
    </w:p>
    <w:p>
      <w:r>
        <w:t>KR모터스의 운영 역량은 생산, 공급망, 인재, ESG 측면에서 전반적인 점검이 필요합니다. 과거에는 안정적인 생산 능력과 공급망을 구축하고 있었으나, 최근 경영난으로 인해 생산 설비 노후화, 인력 감축 등 어려움을 겪고 있습니다. 특히, 핵심 인력 유출은 장기적인 경쟁력 약화로 이어질 수 있습니다. ESG 측면에서는 아직 구체적인 활동이 미흡한 것으로 판단됩니다. 환경(Environment) 측면에서는 전기 스쿠터 생산 확대 및 친환경 부품 사용 등을 통해 개선 노력을 기울일 수 있으며, 사회(Social) 측면에서는 지역 사회 공헌 활동 및 안전 교육 등을 강화할 필요가 있습니다. 지배구조(Governance) 측면에서는 투명한 경영 시스템 구축 및 주주 가치 제고를 위한 노력이 필요합니다. (근거: 재무 분석 보고서, ESG 관련 자료 - 별도 첨부 필요, 뉴스 기사 "최대주주 자금 지원에도 ‘밑빠진 독’ 우려")</w:t>
      </w:r>
    </w:p>
    <w:p>
      <w:r>
        <w:t>결론: 사업 모델의 지속 가능성:</w:t>
      </w:r>
      <w:r>
        <w:rPr>
          <w:b/>
        </w:rPr>
      </w:r>
    </w:p>
    <w:p>
      <w:r>
        <w:t>향후 3~5년 관점에서 KR모터스의 사업 모델 지속 가능성은 불확실성이 높습니다. M&amp;A를 통한 모빌리티 기업 전환은 긍정적인 시도이지만, 성공 여부는 자금 조달, 기술 개발, 시장 경쟁력 확보 등 여러 요인에 달려 있습니다. 특히, 재무 구조 개선이 시급하며, 추가적인 자금 조달이 이루어지지 않을 경우 사업 지속 자체가 어려워질 수 있습니다. (근거: 재무 분석 보고서, 뉴스 기사 "좀비기업 전락...상폐 우려 커진다") 따라서, 투자 결정에 앞서 KR모터스의 자금 조달 계획, M&amp;A 시너지 효과, 시장 경쟁력 강화 방안 등을 면밀히 검토해야 합니다. 긍정적인 시나리오는 성공적인 자금 조달과 신규 모빌리티 사업의 안착을 통해 기업 가치를 회복하는 것이지만, 부정적인 시나리오는 자금 부족으로 인한 사업 축소 및 청산 가능성입니다.</w:t>
      </w:r>
    </w:p>
    <w:p>
      <w:pPr>
        <w:pStyle w:val="Heading2"/>
      </w:pPr>
      <w:r>
        <w:rPr>
          <w:b/>
          <w:color w:val="000000"/>
          <w:sz w:val="32"/>
        </w:rPr>
        <w:t>4. 리스크 및 기회 요인</w:t>
      </w:r>
    </w:p>
    <w:p>
      <w:pPr>
        <w:pStyle w:val="Heading3"/>
      </w:pPr>
      <w:r>
        <w:rPr>
          <w:b/>
          <w:color w:val="3C3C3C"/>
          <w:sz w:val="26"/>
        </w:rPr>
        <w:t>4.1 리스크 요인 (Risk Factors)</w:t>
      </w:r>
    </w:p>
    <w:p>
      <w:r>
        <w:t>[리스크 1] 경쟁 심화 및 시장 점유율 하락:</w:t>
      </w:r>
      <w:r>
        <w:rPr>
          <w:b/>
        </w:rPr>
        <w:t xml:space="preserve"> 국내 이륜차 시장은 경쟁이 치열하며, 특히 수입 브랜드의 공격적인 마케팅과 신규 모델 출시로 인해 KR모터스의 시장 점유율이 하락할 수 있습니다. 전기 이륜차 시장 역시 경쟁이 심화되면서 차별화된 기술력과 브랜드 이미지를 확보하지 못할 경우 경쟁 우위를 유지하기 어려울 수 있습니다. 이는 매출 감소와 수익성 악화로 이어져 기업의 재무 건전성을 저해할 수 있는 요인입니다.</w:t>
      </w:r>
    </w:p>
    <w:p>
      <w:r>
        <w:t>[리스크 2] 원자재 가격 상승 및 환율 변동:</w:t>
      </w:r>
      <w:r>
        <w:rPr>
          <w:b/>
        </w:rPr>
        <w:t xml:space="preserve"> 이륜차 제조에 필요한 철강, 알루미늄 등 원자재 가격 상승은 제조 원가 상승으로 이어져 수익성을 악화시킬 수 있습니다. 또한, 원/달러 환율 변동은 수입 원자재 가격 상승 및 수출 경쟁력 약화를 초래할 수 있습니다. KR모터스가 효과적인 원가 절감 노력과 환율 변동에 대한 헤지 전략을 마련하지 못할 경우 수익성 악화가 심화될 수 있습니다.</w:t>
      </w:r>
    </w:p>
    <w:p>
      <w:r>
        <w:t>[리스크 3] 기술 변화에 대한 대응 지연:</w:t>
      </w:r>
      <w:r>
        <w:rPr>
          <w:b/>
        </w:rPr>
        <w:t xml:space="preserve"> 이륜차 시장은 전동화, 자율 주행 기술 등 빠르게 변화하고 있으며, KR모터스가 이러한 기술 변화에 대한 적절한 투자와 대응을 하지 못할 경우 경쟁력을 상실할 수 있습니다. 특히, 전기 이륜차 시장은 배터리 기술, 충전 인프라 등 관련 기술 발전 속도가 빠르므로, 기술 경쟁력 확보에 실패할 경우 시장에서 도태될 위험이 있습니다.</w:t>
      </w:r>
    </w:p>
    <w:p>
      <w:r>
        <w:t>[리스크 4] 정부 규제 변화 및 환경 규제 강화:</w:t>
      </w:r>
      <w:r>
        <w:rPr>
          <w:b/>
        </w:rPr>
        <w:t xml:space="preserve"> 이륜차 배출가스 규제 강화, 안전 기준 강화 등 정부 규제 변화는 KR모터스의 제품 개발 및 생산 비용 증가를 야기할 수 있습니다. 특히, 환경 규제 강화는 내연기관 이륜차 생산 제한 및 전기 이륜차 보조금 정책 변화 등 사업 환경에 직접적인 영향을 미칠 수 있으므로, 규제 변화에 대한 선제적인 대응이 필요합니다.</w:t>
      </w:r>
    </w:p>
    <w:p>
      <w:r>
        <w:t>[리스크 5] 브랜드 이미지 약화 및 소비자 신뢰도 하락:</w:t>
      </w:r>
      <w:r>
        <w:rPr>
          <w:b/>
        </w:rPr>
        <w:t xml:space="preserve"> KR모터스는 과거 경영 위기 및 품질 문제 등으로 인해 브랜드 이미지가 약화된 측면이 있으며, 이는 소비자 신뢰도 하락으로 이어져 판매 부진을 초래할 수 있습니다. 브랜드 이미지 회복을 위한 적극적인 마케팅 활동과 품질 개선 노력이 필요하며, 소비자 불만에 대한 신속하고 적절한 대응이 중요합니다.</w:t>
      </w:r>
    </w:p>
    <w:p>
      <w:r>
        <w:t>[리스크 6] 자금 조달의 어려움 및 재무 구조 취약성:</w:t>
      </w:r>
      <w:r>
        <w:rPr>
          <w:b/>
        </w:rPr>
        <w:t xml:space="preserve"> KR모터스는 과거 누적된 적자로 인해 재무 구조가 취약하며, 신규 투자를 위한 자금 조달에 어려움을 겪을 수 있습니다. 특히, 전기 이륜차 시장 진출을 위한 연구 개발, 생산 설비 투자 등에 필요한 자금 확보가 중요하며, 자금 조달 실패는 성장 동력 확보에 어려움을 초래할 수 있습니다.</w:t>
      </w:r>
    </w:p>
    <w:p>
      <w:r>
        <w:t>[리스크 7] 핵심 인력 유출 및 전문 인력 확보의 어려움:</w:t>
      </w:r>
      <w:r>
        <w:rPr>
          <w:b/>
        </w:rPr>
        <w:t xml:space="preserve"> 이륜차 시장은 기술 집약적인 산업이며, KR모터스의 경쟁력은 우수한 기술 인력 확보에 달려 있습니다. 하지만, 경쟁 심화로 인해 핵심 인력 유출이 발생할 수 있으며, 전기 이륜차 등 신기술 분야의 전문 인력 확보에 어려움을 겪을 수 있습니다. 우수 인력 확보를 위한 경쟁력 있는 보상 체계 구축 및 기업 문화 개선이 필요합니다.</w:t>
      </w:r>
    </w:p>
    <w:p>
      <w:r>
        <w:t>[리스크 8] 해외 시장 진출의 어려움 및 정치/경제적 리스크:</w:t>
      </w:r>
      <w:r>
        <w:rPr>
          <w:b/>
        </w:rPr>
        <w:t xml:space="preserve"> KR모터스는 해외 시장 진출을 통해 성장 동력을 확보하고자 하지만, 해외 시장은 경쟁이 치열하고, 국가별 정치/경제적 상황에 따라 사업 환경이 변동될 수 있습니다. 특히, 보호무역주의 강화, 환율 변동, 정치적 불안정 등은 해외 시장 진출에 어려움을 초래할 수 있으므로, 면밀한 시장 조사 및 리스크 관리가 필요합니다.</w:t>
      </w:r>
    </w:p>
    <w:p>
      <w:pPr>
        <w:pStyle w:val="Heading3"/>
      </w:pPr>
      <w:r>
        <w:rPr>
          <w:b/>
          <w:color w:val="3C3C3C"/>
          <w:sz w:val="26"/>
        </w:rPr>
        <w:t>4.2 기회 요인 (Opportunity Factors)</w:t>
      </w:r>
    </w:p>
    <w:p>
      <w:r>
        <w:t>[기회 1] 전기 이륜차 시장 성장 및 정부 지원 확대:</w:t>
      </w:r>
      <w:r>
        <w:rPr>
          <w:b/>
        </w:rPr>
        <w:t xml:space="preserve"> 환경 규제 강화 및 소비자 인식 변화로 인해 전기 이륜차 시장이 빠르게 성장하고 있으며, 정부는 전기 이륜차 보급 확대를 위해 보조금 지급, 세제 혜택 등 다양한 지원 정책을 추진하고 있습니다. KR모터스는 이러한 시장 성장과 정부 지원을 활용하여 전기 이륜차 시장 점유율을 확대하고, 새로운 성장 동력을 확보할 수 있습니다.</w:t>
      </w:r>
    </w:p>
    <w:p>
      <w:r>
        <w:t>[기회 2] 배달 시장 성장 및 마이크로 모빌리티 수요 증가:</w:t>
      </w:r>
      <w:r>
        <w:rPr>
          <w:b/>
        </w:rPr>
        <w:t xml:space="preserve"> 코로나19 팬데믹 이후 배달 시장이 급성장하면서 배달용 이륜차 수요가 증가하고 있으며, 친환경 이동 수단에 대한 관심 증가로 인해 마이크로 모빌리티 수요 또한 증가하고 있습니다. KR모터스는 배달용 이륜차 라인업 강화 및 마이크로 모빌리티 시장 진출을 통해 새로운 시장 기회를 창출하고, 매출을 확대할 수 있습니다.</w:t>
      </w:r>
    </w:p>
    <w:p>
      <w:r>
        <w:t>[기회 3] 기술 경쟁력 강화 및 신제품 개발:</w:t>
      </w:r>
      <w:r>
        <w:rPr>
          <w:b/>
        </w:rPr>
        <w:t xml:space="preserve"> KR모터스는 오랜 기간 축적된 이륜차 제조 기술력을 바탕으로 전기 이륜차, 자율 주행 기술 등 신기술 개발에 박차를 가하고 있으며, 이를 통해 경쟁사 대비 차별화된 제품을 출시할 수 있습니다. 특히, 배터리 교환형 전기 이륜차, 스마트 모빌리티 플랫폼 등 혁신적인 기술 개발은 시장 선점 효과를 가져다 줄 수 있습니다.</w:t>
      </w:r>
    </w:p>
    <w:p>
      <w:r>
        <w:t>[기회 4] 브랜드 이미지 개선 및 마케팅 강화:</w:t>
      </w:r>
      <w:r>
        <w:rPr>
          <w:b/>
        </w:rPr>
        <w:t xml:space="preserve"> KR모터스는 적극적인 마케팅 활동과 사회 공헌 활동을 통해 브랜드 이미지를 개선하고 소비자 신뢰도를 회복할 수 있습니다. 특히, 젊은 세대를 겨냥한 감각적인 디자인의 이륜차 출시 및 소셜 미디어를 활용한 마케팅 활동은 브랜드 인지도 향상에 기여할 수 있습니다.</w:t>
      </w:r>
    </w:p>
    <w:p>
      <w:r>
        <w:t>[기회 5] 해외 시장 진출 확대 및 신규 시장 개척:</w:t>
      </w:r>
      <w:r>
        <w:rPr>
          <w:b/>
        </w:rPr>
        <w:t xml:space="preserve"> KR모터스는 동남아시아, 남미 등 성장 잠재력이 높은 해외 시장 진출을 확대하고, 새로운 시장을 개척하여 매출을 다변화할 수 있습니다. 특히, 현지 파트너십 구축, 맞춤형 제품 개발 등 현지화 전략을 통해 해외 시장 경쟁력을 강화할 수 있습니다.</w:t>
      </w:r>
    </w:p>
    <w:p>
      <w:r>
        <w:t>[기회 6] 부품 사업 확대 및 AS 네트워크 강화:</w:t>
      </w:r>
      <w:r>
        <w:rPr>
          <w:b/>
        </w:rPr>
        <w:t xml:space="preserve"> KR모터스는 이륜차 부품 사업을 확대하고, 전국 AS 네트워크를 강화하여 고객 만족도를 높이고 추가 수익을 창출할 수 있습니다. 특히, 전기 이륜차 부품 시장 성장 및 AS 수요 증가에 발맞춰 관련 사업을 확대하는 것은 새로운 성장 기회가 될 수 있습니다.</w:t>
      </w:r>
    </w:p>
    <w:p>
      <w:r>
        <w:t>[기회 7] 정부 정책 지원 및 협력 강화:</w:t>
      </w:r>
      <w:r>
        <w:rPr>
          <w:b/>
        </w:rPr>
        <w:t xml:space="preserve"> KR모터스는 정부의 친환경 모빌리티 정책에 적극적으로 참여하고, 관련 기관과의 협력을 강화하여 사업 기회를 확대할 수 있습니다. 특히, 전기 이륜차 보급 사업, 충전 인프라 구축 사업 등 정부 주도 사업에 참여하는 것은 기업 이미지 제고 및 수익 창출에 도움이 될 수 있습니다.</w:t>
      </w:r>
    </w:p>
    <w:p>
      <w:r>
        <w:t>[기회 8] M&amp;A 및 전략적 제휴를 통한 성장:</w:t>
      </w:r>
      <w:r>
        <w:rPr>
          <w:b/>
        </w:rPr>
        <w:t xml:space="preserve"> KR모터스는 M&amp;A 또는 전략적 제휴를 통해 사업 포트폴리오를 확장하고, 경쟁력을 강화할 수 있습니다. 특히, 전기차 관련 기술을 보유한 기업과의 M&amp;A 또는 배터리 제조 기업과의 전략적 제휴는 전기 이륜차 시장 경쟁력 강화에 기여할 수 있습니다.</w:t>
      </w:r>
    </w:p>
    <w:p>
      <w:pPr>
        <w:pStyle w:val="Heading2"/>
      </w:pPr>
      <w:r>
        <w:rPr>
          <w:b/>
          <w:color w:val="000000"/>
          <w:sz w:val="32"/>
        </w:rPr>
        <w:t>5. 최종 투자 결론 및 모니터링 포인트</w:t>
      </w:r>
    </w:p>
    <w:p>
      <w:pPr>
        <w:pStyle w:val="Heading3"/>
      </w:pPr>
      <w:r>
        <w:rPr>
          <w:b/>
          <w:color w:val="3C3C3C"/>
          <w:sz w:val="26"/>
        </w:rPr>
        <w:t>5.1 최종 투자 결론</w:t>
      </w:r>
    </w:p>
    <w:p>
      <w:r>
        <w:t>KR모터스(000040)에 대한 투자는 신중하게 고려해야 할 필요가 있습니다. 긍정적인 측면으로는 전기 이륜차 시장의 성장과 정부의 지원 정책이 KR모터스에게 새로운 기회를 제공할 수 있다는 점입니다. 또한, 배달 시장 성장과 마이크로 모빌리티 수요 증가는 KR모터스의 매출 확대에 기여할 수 있습니다.</w:t>
      </w:r>
    </w:p>
    <w:p>
      <w:r>
        <w:t>하지만, KR모터스는 경쟁 심화, 원자재 가격 상승, 기술 변화에 대한 대응 지연, 브랜드 이미지 약화 등 다양한 리스크 요인에 직면해 있습니다. 특히, 과거 경영 위기로 인한 재무 구조 취약성은 KR모터스의 지속적인 성장에 걸림돌이 될 수 있습니다. 따라서, KR모터스에 대한 투자는 이러한 리스크 요인을 충분히 고려하고, 신중하게 결정해야 합니다.</w:t>
      </w:r>
    </w:p>
    <w:p>
      <w:r>
        <w:t>종합적으로 판단했을 때, KR모터스에 대한 투자는 고위험-고수익 투자로 분류될 수 있습니다. 만약 투자를 결정한다면, KR모터스의 재무 구조 개선, 기술 경쟁력 강화, 브랜드 이미지 회복 등 핵심적인 모니터링 포인트를 지속적으로 확인해야 합니다. 또한, 투자 비중을 최소화하고, 분산 투자를 통해 투자 리스크를 관리하는 것이 중요합니다.</w:t>
      </w:r>
    </w:p>
    <w:p>
      <w:pPr>
        <w:pStyle w:val="Heading3"/>
      </w:pPr>
      <w:r>
        <w:rPr>
          <w:b/>
          <w:color w:val="3C3C3C"/>
          <w:sz w:val="26"/>
        </w:rPr>
        <w:t>5.2 모니터링 포인트</w:t>
      </w:r>
    </w:p>
    <w:p>
      <w:pPr>
        <w:pStyle w:val="ListBullet"/>
      </w:pPr>
      <w:r>
        <w:t>[포인트 1] 전기 이륜차 시장 점유율 변화 추이</w:t>
      </w:r>
    </w:p>
    <w:p>
      <w:pPr>
        <w:pStyle w:val="ListBullet"/>
      </w:pPr>
      <w:r>
        <w:t>[포인트 2] 신제품 출시 및 시장 반응</w:t>
      </w:r>
    </w:p>
    <w:p>
      <w:pPr>
        <w:pStyle w:val="ListBullet"/>
      </w:pPr>
      <w:r>
        <w:t>[포인트 3] 재무 구조 개선 및 자금 조달 현황</w:t>
      </w:r>
    </w:p>
    <w:p>
      <w:pPr>
        <w:pStyle w:val="ListBullet"/>
      </w:pPr>
      <w:r>
        <w:t>[포인트 4] 기술 개발 및 특허 확보 현황</w:t>
      </w:r>
    </w:p>
    <w:p>
      <w:pPr>
        <w:pStyle w:val="ListBullet"/>
      </w:pPr>
      <w:r>
        <w:t>[포인트 5] 브랜드 이미지 개선 및 소비자 반응</w:t>
      </w:r>
    </w:p>
    <w:p>
      <w:pPr>
        <w:pStyle w:val="ListBullet"/>
      </w:pPr>
      <w:r>
        <w:t>[포인트 6] 해외 시장 진출 성과 및 확대 계획</w:t>
      </w:r>
    </w:p>
    <w:p>
      <w:pPr>
        <w:pStyle w:val="ListBullet"/>
      </w:pPr>
      <w:r>
        <w:t>[포인트 7] 정부 정책 변화 및 규제 대응 현황</w:t>
      </w:r>
    </w:p>
    <w:p>
      <w:pPr>
        <w:pStyle w:val="ListBullet"/>
      </w:pPr>
      <w:r>
        <w:t>[포인트 8] 경쟁사 동향 및 시장 변화</w:t>
      </w:r>
    </w:p>
    <w:p>
      <w:pPr>
        <w:pStyle w:val="Heading2"/>
      </w:pPr>
      <w:r>
        <w:rPr>
          <w:b/>
          <w:color w:val="000000"/>
          <w:sz w:val="32"/>
        </w:rPr>
        <w:t>6. 최근 뉴스 및 인사이트</w:t>
      </w:r>
    </w:p>
    <w:p>
      <w:pPr>
        <w:pStyle w:val="ListBullet"/>
      </w:pPr>
      <w:r>
        <w:t>[뉴스 1] KR모터스의 승부수...M&amp;A 통해 본격 모빌리티 기업 전환: KR모터스가 M&amp;A를 통해 사업 영역을 확장하고, 단순 이륜차 제조업체를 넘어 모빌리티 기업으로의 전환을 적극 추진하고 있음을 시사합니다. 새로운 성장 동력 확보를 위한 전략적 움직임으로 해석됩니다.</w:t>
      </w:r>
    </w:p>
    <w:p>
      <w:pPr>
        <w:pStyle w:val="ListBullet"/>
      </w:pPr>
      <w:r>
        <w:t>[뉴스 2] [KR모터스 톺아보기] 매각 타이밍 다시 재는 LVMC: KR모터스의 대주주인 LVMC홀딩스가 매각 시점을 저울질하고 있다는 내용입니다. 기업 가치 상승을 기대하며, 최적의 매각 조건을 모색하고 있는 것으로 보입니다. 투자 유치 가능성도 염두에 둔 행보로 판단됩니다.</w:t>
      </w:r>
    </w:p>
    <w:p>
      <w:pPr>
        <w:pStyle w:val="ListBullet"/>
      </w:pPr>
      <w:r>
        <w:t>[뉴스 3] KR모터스, +6.28% 상승폭 확대: 주가 상승은 긍정적인 신호이지만, 상승 요인을 면밀히 분석해야 합니다. 일시적인 수급 요인인지, 기업 펀더멘털 개선에 따른 것인지 확인이 필요합니다.</w:t>
      </w:r>
    </w:p>
    <w:p>
      <w:pPr>
        <w:pStyle w:val="ListBullet"/>
      </w:pPr>
      <w:r>
        <w:t>[뉴스 4] KR모터스, 다이나맥 주식 100% 양수 결정: 다이나맥 인수는 KR모터스의 사업 포트폴리오 다각화 노력의 일환으로 보입니다. 다이나맥의 사업 내용과 KR모터스와의 시너지 효과를 분석하여 투자 적정성을 평가해야 합니다.</w:t>
      </w:r>
    </w:p>
    <w:p>
      <w:pPr>
        <w:pStyle w:val="ListBullet"/>
      </w:pPr>
      <w:r>
        <w:t>[뉴스 5] [특징주]KR모터스, 최대주주에 유상증자↑: 최대주주 대상 유상증자는 자금 조달의 한 방법이지만, 최대주주의 재정 상황과 증자 참여 목적을 파악해야 합니다. 최대주주의 책임 경영 의지를 보여주는 것일 수도 있지만, 자금난을 해소하기 위한 고육지책일 수도 있습니다.</w:t>
      </w:r>
    </w:p>
    <w:p>
      <w:pPr>
        <w:pStyle w:val="ListBullet"/>
      </w:pPr>
      <w:r>
        <w:t>[뉴스 6] KR모터스 등 6종목, 상한가로 쭉~ 달려볼까 [뉴스톡 웰스톡]: 상한가 기록은 투자 심리를 자극할 수 있지만, 묻지마 투자는 경계해야 합니다. 기업의 내재 가치와 성장 가능성을 냉정하게 평가해야 합니다.</w:t>
      </w:r>
    </w:p>
    <w:p>
      <w:pPr>
        <w:pStyle w:val="ListBullet"/>
      </w:pPr>
      <w:r>
        <w:t>[뉴스 7] KR모터스, 최대주주 자금 지원에도 ‘밑빠진 독’ 우려: 최대주주의 자금 지원에도 불구하고 재무 구조 개선이 미흡하다면, 지속 가능성에 대한 의문이 제기될 수 있습니다. 재무 지표를 꼼꼼히 살펴보고, 근본적인 문제 해결 여부를 판단해야 합니다.</w:t>
      </w:r>
    </w:p>
    <w:p>
      <w:pPr>
        <w:pStyle w:val="ListBullet"/>
      </w:pPr>
      <w:r>
        <w:t>[뉴스 8] [서울데이터랩]‘KR모터스’ 23.89% 폭등...실시간 상승률 1위: 주가 급등은 투자자들의 관심을 끌 수 있지만, 단기적인 변동성에 주의해야 합니다. 상승 원인을 정확히 파악하고, 과열된 투자 심리에 휩쓸리지 않도록 주의해야 합니다.</w:t>
      </w:r>
    </w:p>
    <w:p>
      <w:pPr>
        <w:pStyle w:val="ListBullet"/>
      </w:pPr>
      <w:r>
        <w:t>[뉴스 9] [특징주] KR모터스, 대규모 자금 조달 발표에 상한가...재무구조 개선 기대감: 자금 조달은 단기적으로 재무 구조 개선에 도움이 될 수 있지만, 조달된 자금의 사용 계획과 효과를 면밀히 검토해야 합니다.</w:t>
      </w:r>
    </w:p>
    <w:p>
      <w:pPr>
        <w:pStyle w:val="ListBullet"/>
      </w:pPr>
      <w:r>
        <w:t>[뉴스 10] [KR모터스 톺아보기] 좀비기업 전락...상폐 우려 커진다: 심각한 재무 상황은 상장 폐지 가능성을 높입니다. 투자에 신중을 기해야 하며, 회사의 생존 가능성을 최우선적으로 고려해야 합니다.</w:t>
      </w:r>
    </w:p>
    <w:p>
      <w:pPr>
        <w:pStyle w:val="ListBullet"/>
      </w:pPr>
      <w:r>
        <w:t>[뉴스 11] 코스피·코스닥 전 거래일(29일) 주요공시는...KR모터스, 23억 유상증자: 유상증자 규모와 조건을 확인하고, 기존 주주에게 미치는 영향을 분석해야 합니다.</w:t>
      </w:r>
    </w:p>
    <w:p>
      <w:pPr>
        <w:pStyle w:val="ListBullet"/>
      </w:pPr>
      <w:r>
        <w:t>[뉴스 12] KR모터스 주가, 상한가... 최근 공시는?: 주가 급등의 배경에 최근 공시 내용이 있는지 확인해야 합니다.</w:t>
      </w:r>
    </w:p>
    <w:p>
      <w:pPr>
        <w:pStyle w:val="ListBullet"/>
      </w:pPr>
      <w:r>
        <w:t>[뉴스 13] 상용과 승용, 유틸리티 스쿠터의 새로운 기준: KR모터스가 새로운 스쿠터 모델을 출시했다는 내용입니다. 제품 경쟁력과 시장 반응을 살펴볼 필요가 있습니다.</w:t>
      </w:r>
    </w:p>
    <w:p>
      <w:pPr>
        <w:pStyle w:val="ListBullet"/>
      </w:pPr>
      <w:r>
        <w:t>[뉴스 14] KR모터스, 자금조달 소식에 연이어 급등세...24%↑: 자금 조달 성공은 단기적으로 주가에 긍정적인 영향을 미치지만, 장기적인 성장 가능성을 담보하는 것은 아닙니다.</w:t>
      </w:r>
    </w:p>
    <w:p>
      <w:pPr>
        <w:pStyle w:val="ListBullet"/>
      </w:pPr>
      <w:r>
        <w:t>[뉴스 15] 오세영, KR모터스 유상신주취득으로 주식 보유 증가 공시: 오세영 개인의 주식 보유 증가는 회사에 대한 긍정적인 신호일 수 있지만, 개인적인 투자 판단일 수도 있으므로 과도한 의미 부여는 경계해야 합니다.</w:t>
      </w:r>
    </w:p>
    <w:p>
      <w:pPr>
        <w:pStyle w:val="ListBullet"/>
      </w:pPr>
      <w:r>
        <w:t>[뉴스 16] (종합) KR모터스의 M&amp;A, 자금 조달, 신제품 출시 등 다양한 뉴스는 회사가 적극적으로 변화를 모색하고 있다는 것을 보여줍니다. 하지만, 재무 구조 개선과 지속 가능한 성장 동력 확보 여부가 투자 성공의 핵심 변수가 될 것입니다.</w:t>
      </w:r>
    </w:p>
    <w:p>
      <w:pPr>
        <w:pStyle w:val="Heading2"/>
      </w:pPr>
      <w:r>
        <w:rPr>
          <w:b/>
          <w:color w:val="000000"/>
          <w:sz w:val="32"/>
        </w:rPr>
        <w:t>부록: 최근 공시 50건</w:t>
      </w:r>
    </w:p>
    <w:p>
      <w:pPr>
        <w:pStyle w:val="ListBullet"/>
      </w:pPr>
      <w:r>
        <w:t>2026-01-20 [-] 전환가액ᆞ신주인수권행사가액ᆞ교환가액의조정(안내공시)               (rcp_no: 20260120800324)</w:t>
      </w:r>
    </w:p>
    <w:p>
      <w:pPr>
        <w:pStyle w:val="ListBullet"/>
      </w:pPr>
      <w:r>
        <w:t>2026-01-20 [-] 전환가액ᆞ신주인수권행사가액ᆞ교환가액의조정(안내공시)               (rcp_no: 20260120800323)</w:t>
      </w:r>
    </w:p>
    <w:p>
      <w:pPr>
        <w:pStyle w:val="ListBullet"/>
      </w:pPr>
      <w:r>
        <w:t>2025-12-30 [-] [기재정정]투자판단관련주요경영사항               (rcp_no: 20251230800806)</w:t>
      </w:r>
    </w:p>
    <w:p>
      <w:pPr>
        <w:pStyle w:val="ListBullet"/>
      </w:pPr>
      <w:r>
        <w:t>2025-12-19 [-] [기재정정]주요사항보고서(타법인주식및출자증권양수결정) (rcp_no: 20251219000447)</w:t>
      </w:r>
    </w:p>
    <w:p>
      <w:pPr>
        <w:pStyle w:val="ListBullet"/>
      </w:pPr>
      <w:r>
        <w:t>2025-12-16 [-] 주주명부폐쇄기간또는기준일설정               (rcp_no: 20251216800141)</w:t>
      </w:r>
    </w:p>
    <w:p>
      <w:pPr>
        <w:pStyle w:val="ListBullet"/>
      </w:pPr>
      <w:r>
        <w:t>2025-12-10 [-] 조회공시요구(풍문또는보도)에대한답변(미확정)               (rcp_no: 20251210800367)</w:t>
      </w:r>
    </w:p>
    <w:p>
      <w:pPr>
        <w:pStyle w:val="ListBullet"/>
      </w:pPr>
      <w:r>
        <w:t>2025-12-02 [-] [기재정정]분기보고서 (2025.09) (rcp_no: 20251202000227)</w:t>
      </w:r>
    </w:p>
    <w:p>
      <w:pPr>
        <w:pStyle w:val="ListBullet"/>
      </w:pPr>
      <w:r>
        <w:t>2025-11-14 [-] 분기보고서 (2025.09) (rcp_no: 20251114001195)</w:t>
      </w:r>
    </w:p>
    <w:p>
      <w:pPr>
        <w:pStyle w:val="ListBullet"/>
      </w:pPr>
      <w:r>
        <w:t>2025-10-01 [-] 주요사항보고서(타법인주식및출자증권양수결정) (rcp_no: 20251001000761)</w:t>
      </w:r>
    </w:p>
    <w:p>
      <w:pPr>
        <w:pStyle w:val="ListBullet"/>
      </w:pPr>
      <w:r>
        <w:t>2025-10-01 [-] [기재정정]주요사항보고서(전환사채권발행결정) (rcp_no: 20251001000766)</w:t>
      </w:r>
    </w:p>
    <w:p>
      <w:pPr>
        <w:pStyle w:val="ListBullet"/>
      </w:pPr>
      <w:r>
        <w:t>2025-09-19 [-] 주식등의대량보유상황보고서(일반) (rcp_no: 20250919000335)</w:t>
      </w:r>
    </w:p>
    <w:p>
      <w:pPr>
        <w:pStyle w:val="ListBullet"/>
      </w:pPr>
      <w:r>
        <w:t>2025-09-15 [-] 대표이사(대표집행임원)변경(안내공시)               (rcp_no: 20250915800228)</w:t>
      </w:r>
    </w:p>
    <w:p>
      <w:pPr>
        <w:pStyle w:val="ListBullet"/>
      </w:pPr>
      <w:r>
        <w:t>2025-09-05 [-] 사외이사의선임ᆞ해임또는중도퇴임에관한신고 (rcp_no: 20250905000401)</w:t>
      </w:r>
    </w:p>
    <w:p>
      <w:pPr>
        <w:pStyle w:val="ListBullet"/>
      </w:pPr>
      <w:r>
        <w:t>2025-09-05 [-] 임시주주총회결과               (rcp_no: 20250905800077)</w:t>
      </w:r>
    </w:p>
    <w:p>
      <w:pPr>
        <w:pStyle w:val="ListBullet"/>
      </w:pPr>
      <w:r>
        <w:t>2025-08-28 [-] [기재정정]주요사항보고서(유상증자결정) (rcp_no: 20250828000203)</w:t>
      </w:r>
    </w:p>
    <w:p>
      <w:pPr>
        <w:pStyle w:val="ListBullet"/>
      </w:pPr>
      <w:r>
        <w:t>2025-08-28 [-] [기재정정]주요사항보고서(유상증자결정) (rcp_no: 20250828000197)</w:t>
      </w:r>
    </w:p>
    <w:p>
      <w:pPr>
        <w:pStyle w:val="ListBullet"/>
      </w:pPr>
      <w:r>
        <w:t>2025-08-28 [-] [기재정정]주요사항보고서(전환사채권발행결정) (rcp_no: 20250828000174)</w:t>
      </w:r>
    </w:p>
    <w:p>
      <w:pPr>
        <w:pStyle w:val="ListBullet"/>
      </w:pPr>
      <w:r>
        <w:t>2025-08-27 [-] 주식등의대량보유상황보고서(일반) (rcp_no: 20250827000656)</w:t>
      </w:r>
    </w:p>
    <w:p>
      <w:pPr>
        <w:pStyle w:val="ListBullet"/>
      </w:pPr>
      <w:r>
        <w:t>2025-08-25 [-] 주식등의대량보유상황보고서(일반) (rcp_no: 20250825000385)</w:t>
      </w:r>
    </w:p>
    <w:p>
      <w:pPr>
        <w:pStyle w:val="ListBullet"/>
      </w:pPr>
      <w:r>
        <w:t>2025-08-22 [-] 임원ᆞ주요주주특정증권등소유상황보고서 (rcp_no: 20250822000260)</w:t>
      </w:r>
    </w:p>
    <w:p>
      <w:pPr>
        <w:pStyle w:val="ListBullet"/>
      </w:pPr>
      <w:r>
        <w:t>2025-08-22 [-] 주식등의대량보유상황보고서(일반) (rcp_no: 20250822000275)</w:t>
      </w:r>
    </w:p>
    <w:p>
      <w:pPr>
        <w:pStyle w:val="ListBullet"/>
      </w:pPr>
      <w:r>
        <w:t>2025-08-22 [-] 최대주주등소유주식변동신고서               (rcp_no: 20250822800326)</w:t>
      </w:r>
    </w:p>
    <w:p>
      <w:pPr>
        <w:pStyle w:val="ListBullet"/>
      </w:pPr>
      <w:r>
        <w:t>2025-08-22 [-] 임원ᆞ주요주주특정증권등소유상황보고서 (rcp_no: 20250822000267)</w:t>
      </w:r>
    </w:p>
    <w:p>
      <w:pPr>
        <w:pStyle w:val="ListBullet"/>
      </w:pPr>
      <w:r>
        <w:t>2025-08-21 [-] 유상증자또는주식관련사채등의발행결과(자율공시)               (rcp_no: 20250821800227)</w:t>
      </w:r>
    </w:p>
    <w:p>
      <w:pPr>
        <w:pStyle w:val="ListBullet"/>
      </w:pPr>
      <w:r>
        <w:t>2025-08-21 [-] 주주총회소집공고 (rcp_no: 20250821000412)</w:t>
      </w:r>
    </w:p>
    <w:p>
      <w:pPr>
        <w:pStyle w:val="ListBullet"/>
      </w:pPr>
      <w:r>
        <w:t>2025-08-21 [-] 유상증자또는주식관련사채등의발행결과(자율공시)               (rcp_no: 20250821800228)</w:t>
      </w:r>
    </w:p>
    <w:p>
      <w:pPr>
        <w:pStyle w:val="ListBullet"/>
      </w:pPr>
      <w:r>
        <w:t>2025-08-21 [-] 유상증자또는주식관련사채등의발행결과(자율공시)               (rcp_no: 20250821800232)</w:t>
      </w:r>
    </w:p>
    <w:p>
      <w:pPr>
        <w:pStyle w:val="ListBullet"/>
      </w:pPr>
      <w:r>
        <w:t>2025-08-21 [-] 유상증자또는주식관련사채등의발행결과(자율공시)               (rcp_no: 20250821800225)</w:t>
      </w:r>
    </w:p>
    <w:p>
      <w:pPr>
        <w:pStyle w:val="ListBullet"/>
      </w:pPr>
      <w:r>
        <w:t>2025-08-21 [-] [기재정정]주주총회소집결의               (rcp_no: 20250821800262)</w:t>
      </w:r>
    </w:p>
    <w:p>
      <w:pPr>
        <w:pStyle w:val="ListBullet"/>
      </w:pPr>
      <w:r>
        <w:t>2025-08-14 [-] 반기보고서 (2025.06) (rcp_no: 20250814001747)</w:t>
      </w:r>
    </w:p>
    <w:p>
      <w:pPr>
        <w:pStyle w:val="ListBullet"/>
      </w:pPr>
      <w:r>
        <w:t>2025-07-29 [-] 주요사항보고서(유상증자결정) (rcp_no: 20250729000197)</w:t>
      </w:r>
    </w:p>
    <w:p>
      <w:pPr>
        <w:pStyle w:val="ListBullet"/>
      </w:pPr>
      <w:r>
        <w:t>2025-07-29 [-] 주요사항보고서(유상증자결정) (rcp_no: 20250729000229)</w:t>
      </w:r>
    </w:p>
    <w:p>
      <w:pPr>
        <w:pStyle w:val="ListBullet"/>
      </w:pPr>
      <w:r>
        <w:t>2025-07-29 [-] 주주총회소집결의               (rcp_no: 20250729800430)</w:t>
      </w:r>
    </w:p>
    <w:p>
      <w:pPr>
        <w:pStyle w:val="ListBullet"/>
      </w:pPr>
      <w:r>
        <w:t>2025-07-29 [-] 주요사항보고서(전환사채권발행결정) (rcp_no: 20250729000235)</w:t>
      </w:r>
    </w:p>
    <w:p>
      <w:pPr>
        <w:pStyle w:val="ListBullet"/>
      </w:pPr>
      <w:r>
        <w:t>2025-07-29 [-] 단기차입금증가결정               (rcp_no: 20250729800255)</w:t>
      </w:r>
    </w:p>
    <w:p>
      <w:pPr>
        <w:pStyle w:val="ListBullet"/>
      </w:pPr>
      <w:r>
        <w:t>2025-07-29 [-] 주요사항보고서(전환사채권발행결정) (rcp_no: 20250729000268)</w:t>
      </w:r>
    </w:p>
    <w:p>
      <w:pPr>
        <w:pStyle w:val="ListBullet"/>
      </w:pPr>
      <w:r>
        <w:t>2025-07-29 [-] 주주명부폐쇄기간또는기준일설정               (rcp_no: 20250729800482)</w:t>
      </w:r>
    </w:p>
    <w:p>
      <w:pPr>
        <w:pStyle w:val="ListBullet"/>
      </w:pPr>
      <w:r>
        <w:t>2025-07-07 [-] 주권관련사채권의취득결정               (rcp_no: 20250707800258)</w:t>
      </w:r>
    </w:p>
    <w:p>
      <w:pPr>
        <w:pStyle w:val="ListBullet"/>
      </w:pPr>
      <w:r>
        <w:t>2025-06-11 [-] 조회공시요구(풍문또는보도)에대한답변(미확정)               (rcp_no: 20250611800438)</w:t>
      </w:r>
    </w:p>
    <w:p>
      <w:pPr>
        <w:pStyle w:val="ListBullet"/>
      </w:pPr>
      <w:r>
        <w:t>2025-05-15 [-] 분기보고서 (2025.03) (rcp_no: 20250515000884)</w:t>
      </w:r>
    </w:p>
    <w:p>
      <w:pPr>
        <w:pStyle w:val="ListBullet"/>
      </w:pPr>
      <w:r>
        <w:t>2025-03-27 [-] 정기주주총회결과               (rcp_no: 20250327800394)</w:t>
      </w:r>
    </w:p>
    <w:p>
      <w:pPr>
        <w:pStyle w:val="ListBullet"/>
      </w:pPr>
      <w:r>
        <w:t>2025-03-27 [-] 사외이사의선임ᆞ해임또는중도퇴임에관한신고 (rcp_no: 20250327000384)</w:t>
      </w:r>
    </w:p>
    <w:p>
      <w:pPr>
        <w:pStyle w:val="ListBullet"/>
      </w:pPr>
      <w:r>
        <w:t>2025-03-19 [-] 사업보고서 (2024.12) (rcp_no: 20250319000576)</w:t>
      </w:r>
    </w:p>
    <w:p>
      <w:pPr>
        <w:pStyle w:val="ListBullet"/>
      </w:pPr>
      <w:r>
        <w:t>2025-03-19 [-] [기재정정]주주총회소집공고 (rcp_no: 20250319000628)</w:t>
      </w:r>
    </w:p>
    <w:p>
      <w:pPr>
        <w:pStyle w:val="ListBullet"/>
      </w:pPr>
      <w:r>
        <w:t>2025-03-19 [-] 감사보고서제출               (rcp_no: 20250319800478)</w:t>
      </w:r>
    </w:p>
    <w:p>
      <w:pPr>
        <w:pStyle w:val="ListBullet"/>
      </w:pPr>
      <w:r>
        <w:t>2025-03-12 [-] 주주총회소집공고 (rcp_no: 20250312000251)</w:t>
      </w:r>
    </w:p>
    <w:p>
      <w:pPr>
        <w:pStyle w:val="ListBullet"/>
      </w:pPr>
      <w:r>
        <w:t>2025-03-12 [-] 주주총회집중일개최사유신고               (rcp_no: 20250312800276)</w:t>
      </w:r>
    </w:p>
    <w:p>
      <w:pPr>
        <w:pStyle w:val="ListBullet"/>
      </w:pPr>
      <w:r>
        <w:t>2025-03-12 [-] 주주총회소집결의               (rcp_no: 20250312800275)</w:t>
      </w:r>
    </w:p>
    <w:p>
      <w:pPr>
        <w:pStyle w:val="ListBullet"/>
      </w:pPr>
      <w:r>
        <w:t>2025-02-26 [-] 매출액또는손익구조30%(대규모법인은15%)이상변경               (rcp_no: 20250226800564)</w:t>
      </w:r>
    </w:p>
    <w:p>
      <w:pPr>
        <w:pStyle w:val="ListBullet"/>
      </w:pPr>
      <w:r>
        <w:t>2024-12-24 [-] [기재정정]투자판단관련주요경영사항               (rcp_no: 20241224800467)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