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EA5E9"/>
          <w:sz w:val="36"/>
        </w:rPr>
        <w:t>INVESTMENT MEMO</w:t>
      </w:r>
    </w:p>
    <w:p>
      <w:pPr>
        <w:pStyle w:val="Heading2"/>
      </w:pPr>
      <w:r>
        <w:rPr>
          <w:b/>
          <w:sz w:val="48"/>
        </w:rPr>
        <w:t>삼성전자(005930)</w:t>
      </w:r>
    </w:p>
    <w:p>
      <w:r>
        <w:t>작성일: 2026년 01월 10일</w:t>
      </w:r>
    </w:p>
    <w:p>
      <w:pPr>
        <w:pStyle w:val="Heading3"/>
      </w:pPr>
      <w:r>
        <w:rPr>
          <w:b/>
          <w:color w:val="000000"/>
          <w:sz w:val="28"/>
        </w:rPr>
        <w:t>1. 투자 요약</w:t>
      </w:r>
    </w:p>
    <w:p>
      <w:r>
        <w:t>삼성전자는 글로벌 IT 산업을 선도하는 기업입니다.</w:t>
      </w:r>
    </w:p>
    <w:p>
      <w:pPr>
        <w:pStyle w:val="Heading3"/>
      </w:pPr>
      <w:r>
        <w:rPr>
          <w:b/>
          <w:color w:val="000000"/>
          <w:sz w:val="28"/>
        </w:rPr>
        <w:t>2. 재무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  <w:sz w:val="20"/>
              </w:rPr>
              <w:t>구분</w:t>
            </w:r>
          </w:p>
        </w:tc>
        <w:tc>
          <w:tcPr>
            <w:tcW w:type="dxa" w:w="3010"/>
          </w:tcPr>
          <w:p>
            <w:r>
              <w:rPr>
                <w:b/>
                <w:sz w:val="20"/>
              </w:rPr>
              <w:t>2023년</w:t>
            </w:r>
          </w:p>
        </w:tc>
        <w:tc>
          <w:tcPr>
            <w:tcW w:type="dxa" w:w="3010"/>
          </w:tcPr>
          <w:p>
            <w:r>
              <w:rPr>
                <w:b/>
                <w:sz w:val="20"/>
              </w:rPr>
              <w:t>2022년</w:t>
            </w:r>
          </w:p>
        </w:tc>
      </w:tr>
      <w:tr>
        <w:tc>
          <w:tcPr>
            <w:tcW w:type="dxa" w:w="3010"/>
          </w:tcPr>
          <w:p>
            <w:r>
              <w:t>매출액</w:t>
            </w:r>
          </w:p>
        </w:tc>
        <w:tc>
          <w:tcPr>
            <w:tcW w:type="dxa" w:w="3010"/>
          </w:tcPr>
          <w:p>
            <w:r>
              <w:t>320조</w:t>
            </w:r>
          </w:p>
        </w:tc>
        <w:tc>
          <w:tcPr>
            <w:tcW w:type="dxa" w:w="3010"/>
          </w:tcPr>
          <w:p>
            <w:r>
              <w:t>310조</w:t>
            </w:r>
          </w:p>
        </w:tc>
      </w:tr>
      <w:tr>
        <w:tc>
          <w:tcPr>
            <w:tcW w:type="dxa" w:w="3010"/>
          </w:tcPr>
          <w:p>
            <w:r>
              <w:t>영업이익</w:t>
            </w:r>
          </w:p>
        </w:tc>
        <w:tc>
          <w:tcPr>
            <w:tcW w:type="dxa" w:w="3010"/>
          </w:tcPr>
          <w:p>
            <w:r>
              <w:t>48조</w:t>
            </w:r>
          </w:p>
        </w:tc>
        <w:tc>
          <w:tcPr>
            <w:tcW w:type="dxa" w:w="3010"/>
          </w:tcPr>
          <w:p>
            <w:r>
              <w:t>46.5조</w:t>
            </w:r>
          </w:p>
        </w:tc>
      </w:tr>
    </w:tbl>
    <w:p>
      <w:r/>
      <w:r>
        <w:rPr>
          <w:b/>
        </w:rPr>
        <w:t>재무 분석:</w:t>
      </w:r>
      <w:r/>
    </w:p>
    <w:p>
      <w:pPr>
        <w:pStyle w:val="ListBullet"/>
        <w:ind w:left="720"/>
      </w:pPr>
      <w:r>
        <w:t>매출 성장성: 지속적으로 성장 중</w:t>
      </w:r>
    </w:p>
    <w:p>
      <w:pPr>
        <w:pStyle w:val="ListBullet"/>
        <w:ind w:left="720"/>
      </w:pPr>
      <w:r>
        <w:t>수익성: 양호한 수준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