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삼성전자 26-1차 장비(이텍솔루션) 매입·해체 사업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손익 현황 보고 — 대표이사 보고용</w:t>
      </w:r>
    </w:p>
    <w:p>
      <w:pPr>
        <w:spacing w:after="200"/>
      </w:pPr>
      <w:r>
        <w:rPr>
          <w:rFonts w:ascii="맑은 고딕" w:cs="맑은 고딕" w:eastAsia="맑은 고딕" w:hAnsi="맑은 고딕"/>
          <w:color w:val="808080"/>
          <w:sz w:val="17"/>
          <w:szCs w:val="17"/>
        </w:rPr>
        <w:t xml:space="preserve">보고일: 2026-06-30   |   작성: 크로스특수   |   기준: 반입/반출/인건비 차량 List</w:t>
      </w:r>
    </w:p>
    <w:p>
      <w:pPr>
        <w:pStyle w:val="Heading1"/>
        <w:pBdr>
          <w:bottom w:val="single" w:color="2E5496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핵심 결론 (요약)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장부상 손익은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약 −146.6백만원</w:t>
      </w:r>
      <w:r>
        <w:rPr>
          <w:rFonts w:ascii="맑은 고딕" w:cs="맑은 고딕" w:eastAsia="맑은 고딕" w:hAnsi="맑은 고딕"/>
          <w:sz w:val="20"/>
          <w:szCs w:val="20"/>
        </w:rPr>
        <w:t xml:space="preserve">으로 표시되나, 이는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적자 확정이 아니라 작업이 진행 중인 중간 시점의 수치</w:t>
      </w:r>
      <w:r>
        <w:rPr>
          <w:rFonts w:ascii="맑은 고딕" w:cs="맑은 고딕" w:eastAsia="맑은 고딕" w:hAnsi="맑은 고딕"/>
          <w:sz w:val="20"/>
          <w:szCs w:val="20"/>
        </w:rPr>
        <w:t xml:space="preserve">입니다. 반입한 자재의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38%만 매각</w:t>
      </w:r>
      <w:r>
        <w:rPr>
          <w:rFonts w:ascii="맑은 고딕" w:cs="맑은 고딕" w:eastAsia="맑은 고딕" w:hAnsi="맑은 고딕"/>
          <w:sz w:val="20"/>
          <w:szCs w:val="20"/>
        </w:rPr>
        <w:t xml:space="preserve">되었고, 나머지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62%(약 73톤)는 야적장 재고로 미실현</w:t>
      </w:r>
      <w:r>
        <w:rPr>
          <w:rFonts w:ascii="맑은 고딕" w:cs="맑은 고딕" w:eastAsia="맑은 고딕" w:hAnsi="맑은 고딕"/>
          <w:sz w:val="20"/>
          <w:szCs w:val="20"/>
        </w:rPr>
        <w:t xml:space="preserve"> 상태이기 때문입니다. 특히 고단가 품목인 </w:t>
      </w:r>
      <w:r>
        <w:rPr>
          <w:rFonts w:ascii="맑은 고딕" w:cs="맑은 고딕" w:eastAsia="맑은 고딕" w:hAnsi="맑은 고딕"/>
          <w:b/>
          <w:bCs/>
          <w:color w:val="B8860B"/>
          <w:sz w:val="20"/>
          <w:szCs w:val="20"/>
        </w:rPr>
        <w:t xml:space="preserve">구리(CU)·중고설비는 아직 매각이 0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이어서, 향후 잔여 재고 처분 결과에 따라 최종 손익이 결정됩니다.</w:t>
      </w:r>
    </w:p>
    <w:p>
      <w:pPr>
        <w:pStyle w:val="Heading1"/>
        <w:pBdr>
          <w:bottom w:val="single" w:color="2E5496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손익 3단 요약</w:t>
      </w:r>
    </w:p>
    <w:p>
      <w:pPr>
        <w:spacing w:after="100" w:before="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단순 장부(실현) 손익과 함께, 야적장에 남은 재고 가치(미실현)를 반영한 ‘예상 최종손익’을 병기합니다.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금액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매각 수입 (실현)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19"/>
                <w:szCs w:val="19"/>
              </w:rPr>
              <w:t xml:space="preserve">76,417,100원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회수율 38%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총 지출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9"/>
                <w:szCs w:val="19"/>
              </w:rPr>
              <w:t xml:space="preserve">−223,031,611원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매입+반출+운송+인건비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① 실현손익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−146,614,511원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현재 장부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② 재고평가(미실현, 추정)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8860B"/>
                <w:sz w:val="19"/>
                <w:szCs w:val="19"/>
              </w:rPr>
              <w:t xml:space="preserve">약 +124,000,000원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잔여 73톤×평균단가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③ 예상 최종손익(평균단가 가정)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약 −22,000,000원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CU·중고설비 제외</w:t>
            </w:r>
          </w:p>
        </w:tc>
      </w:tr>
    </w:tbl>
    <w:p>
      <w:pPr>
        <w:spacing w:after="120" w:before="8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재고평가는 기 매각 평균단가(약 1,696원/kg)를 잔여 중량에 적용한 추정치입니다. 잔여분에 포함될 </w:t>
      </w:r>
      <w:r>
        <w:rPr>
          <w:rFonts w:ascii="맑은 고딕" w:cs="맑은 고딕" w:eastAsia="맑은 고딕" w:hAnsi="맑은 고딕"/>
          <w:b/>
          <w:bCs/>
          <w:color w:val="B8860B"/>
          <w:sz w:val="17"/>
          <w:szCs w:val="17"/>
        </w:rPr>
        <w:t xml:space="preserve">구리(CU)·중고설비는 단가가 훨씬 높아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실제 회수액은 이보다 클 수 있으며, 손익분기 또는 흑자 전환 여부는 해당 고부가 품목 실현에 좌우됩니다.</w:t>
      </w:r>
    </w:p>
    <w:p>
      <w:pPr>
        <w:pStyle w:val="Heading1"/>
        <w:pBdr>
          <w:bottom w:val="single" w:color="2E5496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자재 회수(매각)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100"/>
        <w:gridCol w:w="1680"/>
        <w:gridCol w:w="148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품목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매각중량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매각금액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평균단가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비중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알루미늄(AL)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12,092 kg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53,204,800원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4,400원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69.6%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고철(FE)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28,320 kg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13,806,900원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약 488원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18.1%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스테인리스(STS)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4,588 kg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9,405,400원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약 2,050원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12.3%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부품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60 kg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0원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매각 합계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45,060 kg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9"/>
                <w:szCs w:val="19"/>
              </w:rPr>
              <w:t xml:space="preserve">76,417,100원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약 1,696원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20" w:before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반입 총중량 </w:t>
      </w:r>
      <w:r>
        <w:rPr>
          <w:rFonts w:ascii="맑은 고딕" w:cs="맑은 고딕" w:eastAsia="맑은 고딕" w:hAnsi="맑은 고딕"/>
          <w:sz w:val="20"/>
          <w:szCs w:val="20"/>
        </w:rPr>
        <w:t xml:space="preserve">118,420 kg</w:t>
      </w:r>
      <w:r>
        <w:rPr>
          <w:rFonts w:ascii="맑은 고딕" w:cs="맑은 고딕" w:eastAsia="맑은 고딕" w:hAnsi="맑은 고딕"/>
          <w:sz w:val="20"/>
          <w:szCs w:val="20"/>
        </w:rPr>
        <w:t xml:space="preserve"> 대비 매각 </w:t>
      </w:r>
      <w:r>
        <w:rPr>
          <w:rFonts w:ascii="맑은 고딕" w:cs="맑은 고딕" w:eastAsia="맑은 고딕" w:hAnsi="맑은 고딕"/>
          <w:b/>
          <w:bCs/>
          <w:color w:val="2E7D32"/>
          <w:sz w:val="20"/>
          <w:szCs w:val="20"/>
        </w:rPr>
        <w:t xml:space="preserve">45,060 kg(38.1%)</w:t>
      </w:r>
      <w:r>
        <w:rPr>
          <w:rFonts w:ascii="맑은 고딕" w:cs="맑은 고딕" w:eastAsia="맑은 고딕" w:hAnsi="맑은 고딕"/>
          <w:sz w:val="20"/>
          <w:szCs w:val="20"/>
        </w:rPr>
        <w:t xml:space="preserve">, 야적장 잔여 </w:t>
      </w:r>
      <w:r>
        <w:rPr>
          <w:rFonts w:ascii="맑은 고딕" w:cs="맑은 고딕" w:eastAsia="맑은 고딕" w:hAnsi="맑은 고딕"/>
          <w:b/>
          <w:bCs/>
          <w:color w:val="B8860B"/>
          <w:sz w:val="20"/>
          <w:szCs w:val="20"/>
        </w:rPr>
        <w:t xml:space="preserve">73,360 kg(61.9%)</w:t>
      </w:r>
      <w:r>
        <w:rPr>
          <w:rFonts w:ascii="맑은 고딕" w:cs="맑은 고딕" w:eastAsia="맑은 고딕" w:hAnsi="맑은 고딕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매입가 회수 관점: 매각 76.4백만원 − 매입가 141.4백만원 =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−64.98백만원</w:t>
      </w:r>
      <w:r>
        <w:rPr>
          <w:rFonts w:ascii="맑은 고딕" w:cs="맑은 고딕" w:eastAsia="맑은 고딕" w:hAnsi="맑은 고딕"/>
          <w:sz w:val="20"/>
          <w:szCs w:val="20"/>
        </w:rPr>
        <w:t xml:space="preserve"> → 매입원가 회수까지 약 65백만원의 추가 매각이 필요합니다.</w:t>
      </w:r>
    </w:p>
    <w:p>
      <w:pPr>
        <w:pStyle w:val="Heading1"/>
        <w:pBdr>
          <w:bottom w:val="single" w:color="2E5496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리스크 및 대표이사 결정 필요 사항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고부가 품목 미실현: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구리(CU)·중고설비 매각 0 — 잠재 매출의 핵심. 처분 채널·시점 결정 필요.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잔여 재고 73톤 처분 계획: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보관 장기화 시 단가 변동·관리비용 리스크. 처분 일정 수립 필요.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폐기물 무상반출: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현재 비용 0이나 향후 유상 전환 가능성 점검.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 정합성: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‘설비매입·설비반출’ 항목 미작성, 일부 입금여부 미기재 — 최종 정산 전 보완 필요.</w:t>
      </w:r>
    </w:p>
    <w:p>
      <w:pPr>
        <w:pStyle w:val="Heading1"/>
        <w:pBdr>
          <w:bottom w:val="single" w:color="2E5496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 권고 액션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1)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잔여 재고 품목별 실사·평가(특히 CU·중고설비)로 예상 최종손익을 정밀화.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2) </w:t>
      </w:r>
      <w:r>
        <w:rPr>
          <w:rFonts w:ascii="맑은 고딕" w:cs="맑은 고딕" w:eastAsia="맑은 고딕" w:hAnsi="맑은 고딕"/>
          <w:sz w:val="20"/>
          <w:szCs w:val="20"/>
        </w:rPr>
        <w:t xml:space="preserve">매입원가 회수(약 65백만원)까지의 매각 일정·목표단가 수립.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‘현재 적자’ 단정은 보류 — 손익 확정은 작업 완료·재고 처분 후로 명확화.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4)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반입·분류·매각·인건비를 연결한 시스템화로 실시간 손익·재고·회수율 가시화(차수별 비교 포함).</w:t>
      </w:r>
    </w:p>
    <w:p>
      <w:pPr>
        <w:spacing w:before="200"/>
      </w:pPr>
      <w:r>
        <w:rPr>
          <w:rFonts w:ascii="맑은 고딕" w:cs="맑은 고딕" w:eastAsia="맑은 고딕" w:hAnsi="맑은 고딕"/>
          <w:i/>
          <w:iCs/>
          <w:color w:val="808080"/>
          <w:sz w:val="16"/>
          <w:szCs w:val="16"/>
        </w:rPr>
        <w:t xml:space="preserve">※ 본 보고서의 금액은 제공된 엑셀(반입/반출/인건비 List)을 집계·재계산한 것이며, 재고평가는 추정치입니다. 투자·재무 의사결정의 근거 자료로만 활용하시기 바랍니다.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삼성전자 26-1차 장비 손익 보고 —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2026-06-29T23:04:19.906Z</dcterms:created>
  <dcterms:modified xsi:type="dcterms:W3CDTF">2026-06-29T23:04:19.907Z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