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Hei" w:hAnsi="SimHei" w:eastAsia="SimHei"/>
          <w:b/>
          <w:color w:val="12293A"/>
          <w:sz w:val="40"/>
        </w:rPr>
        <w:t>疾病的细胞治疗与免疫治疗：双人逐字稿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说明：本稿对应优化后的 15 页 PPT，2 人展示，建议总时长 10–15 分钟。</w:t>
      </w:r>
    </w:p>
    <w:p>
      <w:r>
        <w:rPr>
          <w:rFonts w:ascii="SimSun" w:hAnsi="SimSun" w:eastAsia="宋体"/>
        </w:rPr>
        <w:t>组员：张思成、陈浩文、程宇轩</w:t>
      </w:r>
    </w:p>
    <w:p>
      <w:pPr>
        <w:pStyle w:val="Heading1"/>
      </w:pPr>
      <w:r>
        <w:t>演讲者一</w:t>
      </w:r>
    </w:p>
    <w:p>
      <w:pPr>
        <w:pStyle w:val="Heading2"/>
      </w:pPr>
      <w:r>
        <w:t>第 1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大家好，我们组选题是《疾病的细胞治疗与免疫治疗》。这不是单纯介绍某一种新药，而是讨论医学治疗逻辑的变化：从外部杀伤疾病，走向调动、改造和重塑人体免疫系统。我们的核心观点是：支持发展，但不神化；用证据、风险和可及性一起判断。</w:t>
      </w:r>
    </w:p>
    <w:p>
      <w:pPr>
        <w:pStyle w:val="Heading2"/>
      </w:pPr>
      <w:r>
        <w:t>第 2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为什么说这是医学史问题？传统治疗更强调从外部处理病灶，比如手术切除、放疗破坏 DNA、化疗抑制快速增殖。细胞治疗和免疫治疗则把人体免疫系统本身变成治疗对象：解除抑制、改造细胞、放大免疫反应。这是治疗范式变化。</w:t>
      </w:r>
    </w:p>
    <w:p>
      <w:pPr>
        <w:pStyle w:val="Heading2"/>
      </w:pPr>
      <w:r>
        <w:t>第 3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癌症负担解释了为什么需要新逻辑。American Cancer Society 的资料显示，2022 年全球约有 2000 万新发癌症病例，约 970 万人死于癌症；到 2050 年，新发病例预计约 3500 万。数字背后的意思是，传统治疗仍然重要，但长期负担、复发和耐药要求医学寻找新的治疗路径。</w:t>
      </w:r>
    </w:p>
    <w:p>
      <w:pPr>
        <w:pStyle w:val="Heading2"/>
      </w:pPr>
      <w:r>
        <w:t>第 4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这页是历史时间轴。早期癌症治疗主要依赖手术、放疗，随后化疗发展为重要手段。1997 年 rituximab 代表单克隆抗体进入癌症治疗，治疗开始更强调靶点。2011 年 ipilimumab 代表检查点抑制剂，治疗对象转向免疫刹车。2017 年 CAR-T 把患者 T 细胞改造成治疗材料。2024 年 TIL 治疗获批，体现放大患者已有免疫反应的方向。</w:t>
      </w:r>
    </w:p>
    <w:p>
      <w:pPr>
        <w:pStyle w:val="Heading2"/>
      </w:pPr>
      <w:r>
        <w:t>第 5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接下来用三条技术线理解这个领域。第一，检查点抑制剂是解除刹车，让 T 细胞重新攻击。第二，CAR-T 是改造细胞，给 T 细胞新的识别能力。第三，TIL 是放大反应，把已经进入肿瘤的 T 细胞扩增后再回输。后面每页都围绕“治疗思路改变”来讲。</w:t>
      </w:r>
    </w:p>
    <w:p>
      <w:pPr>
        <w:pStyle w:val="Heading2"/>
      </w:pPr>
      <w:r>
        <w:t>第 6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检查点抑制剂的重点不是直接杀癌，而是解除免疫刹车。CTLA-4、PD-1、PD-L1 都是常见关键词。2018 年诺贝尔生理学或医学奖表彰了抑制免疫负调节治疗癌症的发现。Pembrolizumab 用于 TMB-H 实体瘤的 FDA 资料中，客观缓解率为 29%。它的历史意义在于，治疗从杀癌细胞转为恢复免疫系统攻击能力。</w:t>
      </w:r>
    </w:p>
    <w:p>
      <w:pPr>
        <w:pStyle w:val="Heading2"/>
      </w:pPr>
      <w:r>
        <w:t>第 7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CAR-T 的变化更明显：患者自己的 T 细胞成为治疗材料。流程是采集、工程化、扩增、预处理、回输和监测。它被称为“活的药物”，因为治疗材料不是普通化学分子，而是被改造后能识别肿瘤的免疫细胞。这说明医学治疗对象和药物形态都发生了变化。</w:t>
      </w:r>
    </w:p>
    <w:p>
      <w:pPr>
        <w:pStyle w:val="Heading1"/>
      </w:pPr>
      <w:r>
        <w:t>演讲者二</w:t>
      </w:r>
    </w:p>
    <w:p>
      <w:pPr>
        <w:pStyle w:val="Heading2"/>
      </w:pPr>
      <w:r>
        <w:t>第 8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CAR-T 不能只讲疗效，也要讲风险和条件。Kymriah 在复发或难治 B-ALL 儿童和青年患者中，3 个月总体缓解率为 83%。Aucatzyl 在成人复发或难治 B-ALL 中，65 名可评估患者里 27 名在 3 个月内达到完全缓解，比例为 42%。但 Aucatzyl 资料也显示 CRS 和 ICANS 风险，所以治疗中心的毒性处理能力很重要。</w:t>
      </w:r>
    </w:p>
    <w:p>
      <w:pPr>
        <w:pStyle w:val="Heading2"/>
      </w:pPr>
      <w:r>
        <w:t>第 9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TIL 是另一条路线。它不是先给 T 细胞装上新的识别受体，而是从患者肿瘤组织中分离已经进入肿瘤的 T 细胞，体外扩增后回输。Amtagvi 是重要实例，FDA 资料显示推荐剂量患者客观缓解率为 31.5%。它对实体瘤治疗有意义，但作为加速批准，仍需要确认性试验验证临床获益。</w:t>
      </w:r>
    </w:p>
    <w:p>
      <w:pPr>
        <w:pStyle w:val="Heading2"/>
      </w:pPr>
      <w:r>
        <w:t>第 10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证据页要注意一个边界：这些数字不能直接横比。Pembrolizumab、Kymriah、Aucatzyl、Amtagvi 的病种不同，患者条件不同，终点也不同。有的是 ORR，有的是总体缓解率，有的是 CR。因此这些数据说明真实证据已经存在，但不能用一个百分比给疗法排名。</w:t>
      </w:r>
    </w:p>
    <w:p>
      <w:pPr>
        <w:pStyle w:val="Heading2"/>
      </w:pPr>
      <w:r>
        <w:t>第 11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细胞治疗还改变了临床路径。它不是简单开药，而是医疗系统工程：患者筛选、细胞采集或组织获取、实验室制造、质控运输、回输、毒性管理和长期随访。治疗效果不仅取决于技术本身，也取决于医院、实验室、运输和监管体系是否能配合。</w:t>
      </w:r>
    </w:p>
    <w:p>
      <w:pPr>
        <w:pStyle w:val="Heading2"/>
      </w:pPr>
      <w:r>
        <w:t>第 12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为什么不能神化？因为疗效越强，越需要边界和监管。实体瘤仍有靶抗原、免疫抑制微环境和肿瘤异质性难题；急性毒性包括 CRS 和 ICANS；FDA 还要求相关 CAR-T 产品提示继发恶性肿瘤风险并进行长期监测。因此不能只讲成功案例。</w:t>
      </w:r>
    </w:p>
    <w:p>
      <w:pPr>
        <w:pStyle w:val="Heading2"/>
      </w:pPr>
      <w:r>
        <w:t>第 13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伦理和可及性同样重要。NCI 报道公司宣布 lifileucel 单次治疗价格为 515,000 美元。这个数字说明高价是现实问题，但公平问题不只价格，还包括治疗中心限制、保险支付、跨区域转诊、长期风险告知和随访数据公开。技术突破不等于公共价值自动实现。</w:t>
      </w:r>
    </w:p>
    <w:p>
      <w:pPr>
        <w:pStyle w:val="Heading2"/>
      </w:pPr>
      <w:r>
        <w:t>第 14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未来方向不是更神奇，而是更可控、更公平。更准，是用生物标志物筛选患者，减少无效治疗；更安全，是降低 CRS 和 ICANS 等毒性，强化长期登记；更可及，是缩短制造周期，改善支付和转诊体系。未来关键是规范、安全、公平地使用。</w:t>
      </w:r>
    </w:p>
    <w:p>
      <w:pPr>
        <w:pStyle w:val="Heading2"/>
      </w:pPr>
      <w:r>
        <w:t>第 15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最后用三句话总结。第一，历史意义：细胞治疗与免疫治疗改变了医学对疾病的干预对象。第二，临床价值：它已经在部分血液肿瘤、TMB-H 实体瘤和特定黑色素瘤中显示真实证据。第三，审慎边界：适应证、毒性、长期风险、制造流程和费用可及性决定了它不能被神化。谢谢大家。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