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4" w:lineRule="auto"/>
        <w:jc w:val="center"/>
      </w:pPr>
      <w:r>
        <w:rPr>
          <w:rFonts w:ascii="SimHei" w:hAnsi="SimHei" w:eastAsia="SimHei"/>
          <w:b/>
          <w:color w:val="12293A"/>
          <w:sz w:val="40"/>
        </w:rPr>
        <w:t>疾病的细胞治疗与免疫治疗：课程报告</w:t>
      </w:r>
    </w:p>
    <w:p>
      <w:r>
        <w:rPr>
          <w:rFonts w:ascii="SimSun" w:hAnsi="SimSun" w:eastAsia="宋体"/>
        </w:rPr>
        <w:t>组员：张思成、陈浩文、程宇轩</w:t>
      </w:r>
    </w:p>
    <w:p>
      <w:pPr>
        <w:spacing w:before="0" w:after="280" w:line="264" w:lineRule="auto"/>
        <w:jc w:val="center"/>
      </w:pPr>
      <w:r>
        <w:rPr>
          <w:rFonts w:ascii="SimSun" w:hAnsi="SimSun" w:eastAsia="SimSun"/>
          <w:b w:val="0"/>
          <w:color w:val="596976"/>
          <w:sz w:val="22"/>
        </w:rPr>
        <w:t>从“杀死肿瘤”到“训练免疫”：医学治疗逻辑的转变</w:t>
      </w:r>
    </w:p>
    <w:p>
      <w:pPr>
        <w:pStyle w:val="Heading1"/>
      </w:pPr>
      <w:r>
        <w:t>摘要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本报告围绕细胞治疗与免疫治疗展开，补充机制图片、临床实例和风险证据。报告认为，这类治疗的核心意义是把医学从外部杀伤推进到重塑人体免疫系统；它已经在部分血液肿瘤、TMB-H 实体瘤和特定黑色素瘤中显示价值，但仍需严格证据、毒性管理、长期随访和公平可及。</w:t>
      </w:r>
    </w:p>
    <w:p>
      <w:r>
        <w:drawing>
          <wp:inline xmlns:a="http://schemas.openxmlformats.org/drawingml/2006/main" xmlns:pic="http://schemas.openxmlformats.org/drawingml/2006/picture">
            <wp:extent cx="5394960" cy="301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全球癌症负担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1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SimSun" w:hAnsi="SimSun" w:eastAsia="SimSun"/>
          <w:b w:val="0"/>
          <w:color w:val="596976"/>
          <w:sz w:val="18"/>
        </w:rPr>
        <w:t>图 1 全球癌症负担。数据来源：American Cancer Society Global Cancer Statistics 2024。</w:t>
      </w:r>
    </w:p>
    <w:p>
      <w:pPr>
        <w:pStyle w:val="Heading1"/>
      </w:pPr>
      <w:r>
        <w:t>一、选题说明与报告主张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本组选题为“疾病的细胞治疗与免疫治疗”。根据课堂记录，图二中已经出现人口老龄化、食品安全、情绪与心理健康、人体实验和地中海贫血相关主题，因此本报告选择图一中未重复的“疾病的细胞治疗与免疫治疗”。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本报告的主张是：细胞治疗与免疫治疗的价值不只是新增几种药物，而是改变医学治疗逻辑。传统治疗更多从外部直接处理病灶，而免疫治疗和细胞治疗试图调动、重塑或工程化人体自身防御系统。它已经在部分血液肿瘤、TMB-H 实体瘤和特定黑色素瘤中形成可观察的临床价值，但仍需要严格证据、毒性管理、长期随访和公平可及。</w:t>
      </w:r>
    </w:p>
    <w:p>
      <w:pPr>
        <w:pStyle w:val="Heading1"/>
      </w:pPr>
      <w:r>
        <w:t>二、疾病负担：为什么需要新的治疗逻辑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American Cancer Society 发布的 Global Cancer Statistics 2024 显示，2022 年全球约有 2000 万新发癌症病例、约 970 万死亡；到 2050 年，全球新发癌症病例预计约 3500 万。这一数字说明，癌症不是少数患者的偶发问题，而是会长期影响医疗体系、财政支付和家庭生活的公共卫生问题。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传统治疗仍然是基础，例如手术、放疗、化疗在许多癌种中仍是标准治疗。但当疾病复发、耐药、转移或处于晚期阶段时，直接杀伤式治疗可能遇到边界。免疫治疗和细胞治疗的重要性，正是在于它们把治疗对象从“病灶本身”扩展到“病灶与免疫系统之间的关系”。</w:t>
      </w:r>
    </w:p>
    <w:p>
      <w:pPr>
        <w:pStyle w:val="Heading1"/>
      </w:pPr>
      <w:r>
        <w:t>三、免疫检查点：解除免疫系统的“刹车”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NCI 对免疫治疗的解释是：免疫治疗帮助免疫系统对抗癌症。癌细胞可以通过降低自身可见性、表达关闭免疫细胞的表面蛋白、改变肿瘤周围正常细胞等方式逃避免疫系统。免疫检查点抑制剂的核心逻辑，就是阻断癌细胞利用的免疫负调节机制。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2018 年诺贝尔生理学或医学奖授予 James P. Allison 与 Tasuku Honjo，以表彰他们发现通过抑制免疫负调节治疗癌症。这个奖项的意义不只是表彰两位科学家，而是说明检查点抑制剂建立了一种新的治疗原则：不是直接杀伤癌细胞，而是释放免疫系统原本被压制的攻击能力。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Pembrolizumab 是一个可用于说明“按生物标志物用药”的实例。FDA 在 2020 年加速批准 pembrolizumab 用于 TMB-H 实体瘤。KEYNOTE-158 中 102 名 TMB-H 患者客观缓解率为 29%，其中完全缓解 4%、部分缓解 25%；57% 的反应持续至少 12 个月，50% 持续至少 24 个月。这个例子说明，现代免疫治疗正在把疾病分类从器官位置推进到分子特征。</w:t>
      </w:r>
    </w:p>
    <w:p>
      <w:r>
        <w:drawing>
          <wp:inline xmlns:a="http://schemas.openxmlformats.org/drawingml/2006/main" xmlns:pic="http://schemas.openxmlformats.org/drawingml/2006/picture">
            <wp:extent cx="5394960" cy="30571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免疫检查点示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57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SimSun" w:hAnsi="SimSun" w:eastAsia="SimSun"/>
          <w:b w:val="0"/>
          <w:color w:val="596976"/>
          <w:sz w:val="18"/>
        </w:rPr>
        <w:t>图 2 免疫检查点机制示意图。</w:t>
      </w:r>
    </w:p>
    <w:p>
      <w:pPr>
        <w:pStyle w:val="Heading1"/>
      </w:pPr>
      <w:r>
        <w:t>四、CAR-T：工程化 T 细胞作为“活的药物”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CAR-T 指嵌合抗原受体 T 细胞治疗。其基本流程是采集患者 T 细胞，在体外加入能够识别肿瘤抗原的 CAR，扩增后再回输患者体内。它与普通药物不同，因为治疗材料本身是活细胞，可以在体内继续识别、扩增并攻击表达相应靶点的细胞。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Kymriah 是首个 FDA 批准的 CAR-T 疗法。NCI 资料显示，它用于 25 岁及以下、复发或难治 B 细胞急性淋巴细胞白血病患者；批准依据是一项包括 63 名儿童和青年患者的多中心临床试验，3 个月总体缓解率为 83%。Kymriah 的意义在于，它把几十年的免疫学和细胞工程研究推进到可监管、可实施的临床治疗。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Aucatzyl 则可以说明细胞治疗必须同时讨论疗效与风险。FDA 2024 年批准 Aucatzyl 用于成人复发或难治 B 细胞前体急性淋巴细胞白血病。65 名可评估患者中，27 名在 3 个月内达到完全缓解，比例为 42%；但同一资料显示 CRS 发生率为 75%，神经毒性为 64%，ICANS 为 24%。这说明细胞治疗不是“越强越好”，而是需要治疗中心具备识别和处理严重不良反应的能力。</w:t>
      </w:r>
    </w:p>
    <w:p>
      <w:r>
        <w:drawing>
          <wp:inline xmlns:a="http://schemas.openxmlformats.org/drawingml/2006/main" xmlns:pic="http://schemas.openxmlformats.org/drawingml/2006/picture">
            <wp:extent cx="5394960" cy="31539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CAR-T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53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SimSun" w:hAnsi="SimSun" w:eastAsia="SimSun"/>
          <w:b w:val="0"/>
          <w:color w:val="596976"/>
          <w:sz w:val="18"/>
        </w:rPr>
        <w:t>图 3 CAR-T 治疗流程中文示意图。</w:t>
      </w:r>
    </w:p>
    <w:p>
      <w:r>
        <w:drawing>
          <wp:inline xmlns:a="http://schemas.openxmlformats.org/drawingml/2006/main" xmlns:pic="http://schemas.openxmlformats.org/drawingml/2006/picture">
            <wp:extent cx="5394960" cy="29893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临床案例证据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89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SimSun" w:hAnsi="SimSun" w:eastAsia="SimSun"/>
          <w:b w:val="0"/>
          <w:color w:val="596976"/>
          <w:sz w:val="18"/>
        </w:rPr>
        <w:t>图 4 临床实例证据图。不同终点不能直接比较疗法优劣。</w:t>
      </w:r>
    </w:p>
    <w:p>
      <w:pPr>
        <w:pStyle w:val="Heading1"/>
      </w:pPr>
      <w:r>
        <w:t>五、TIL：从实体瘤中扩增已经进入肿瘤的 T 细胞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TIL 是肿瘤浸润淋巴细胞。与 CAR-T 不同，TIL 通常来自患者肿瘤组织，而不是主要来自外周血。TIL 的逻辑是：既然部分 T 细胞已经进入肿瘤组织，就说明它们可能已经具备识别肿瘤的能力；临床流程再把这些细胞分离、体外扩增，并配合预处理和 IL-2 支持后回输患者。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Amtagvi 是 TIL 细胞治疗的重要实例。FDA 在 2024 年加速批准 lifileucel/Amtagvi 用于特定不可切除或转移性黑色素瘤患者。FDA 资料显示，73 名推荐剂量患者客观缓解率为 31.5%，中位初始反应时间为 1.5 个月。其意义在于，细胞治疗不再只停留在血液肿瘤，而是开始进入实体瘤治疗。需要注意的是，这是加速批准，仍需要确认性试验验证临床获益。</w:t>
      </w:r>
    </w:p>
    <w:p>
      <w:r>
        <w:drawing>
          <wp:inline xmlns:a="http://schemas.openxmlformats.org/drawingml/2006/main" xmlns:pic="http://schemas.openxmlformats.org/drawingml/2006/picture">
            <wp:extent cx="4114800" cy="411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CI_TIL_therapy_infographic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SimSun" w:hAnsi="SimSun" w:eastAsia="SimSun"/>
          <w:b w:val="0"/>
          <w:color w:val="596976"/>
          <w:sz w:val="18"/>
        </w:rPr>
        <w:t>图 5 TIL 治疗流程。图片来源：National Cancer Institute。</w:t>
      </w:r>
    </w:p>
    <w:p>
      <w:pPr>
        <w:pStyle w:val="Heading1"/>
      </w:pPr>
      <w:r>
        <w:t>六、临床路径：从用药变成医疗工程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细胞治疗改变的不只是药物类型，也改变了医疗流程。普通药物治疗通常可以理解为“医生处方、药房配药、患者用药”；而 CAR-T 和 TIL 更像医疗工程。流程包括适应证判断、细胞采集、运输、制造、质量控制、预处理、回输、不良反应处理和长期随访。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这要求医疗机构具备更强的协作能力：临床科室要判断患者是否适合治疗，实验室或制造机构要保证细胞产品质量，急诊和重症团队要能处理 CRS、ICANS 等急性风险，随访体系要记录长期疗效和继发风险。</w:t>
      </w:r>
    </w:p>
    <w:p>
      <w:r>
        <w:drawing>
          <wp:inline xmlns:a="http://schemas.openxmlformats.org/drawingml/2006/main" xmlns:pic="http://schemas.openxmlformats.org/drawingml/2006/picture">
            <wp:extent cx="5394960" cy="29879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_患者路径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87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SimSun" w:hAnsi="SimSun" w:eastAsia="SimSun"/>
          <w:b w:val="0"/>
          <w:color w:val="596976"/>
          <w:sz w:val="18"/>
        </w:rPr>
        <w:t>图 6 细胞治疗患者路径。</w:t>
      </w:r>
    </w:p>
    <w:p>
      <w:pPr>
        <w:pStyle w:val="Heading1"/>
      </w:pPr>
      <w:r>
        <w:t>七、风险、限制与监管要求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细胞治疗与免疫治疗不能被包装成万能疗法。首先，实体瘤仍是难点。NCI 对 CAR-T 实体瘤开发的总结指出，困难包括很难找到只存在于肿瘤细胞而不损伤健康细胞的靶抗原，肿瘤微环境会抑制免疫细胞功能，肿瘤异质性也会让单一靶点治疗失效。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其次，毒性管理必须制度化。CAR-T 治疗中，CRS 和 ICANS 是重点风险。FDA 还在 2024 年要求 BCMA 或 CD19 靶向自体 CAR-T 产品加入 T 细胞恶性肿瘤风险黑框警告，并要求接受相关治疗的患者终身监测继发性恶性肿瘤。由此可见，疗效越强，监管、随访和风险沟通越不能弱化。</w:t>
      </w:r>
    </w:p>
    <w:p>
      <w:r>
        <w:drawing>
          <wp:inline xmlns:a="http://schemas.openxmlformats.org/drawingml/2006/main" xmlns:pic="http://schemas.openxmlformats.org/drawingml/2006/picture">
            <wp:extent cx="5394960" cy="27921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_风险数据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9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SimSun" w:hAnsi="SimSun" w:eastAsia="SimSun"/>
          <w:b w:val="0"/>
          <w:color w:val="596976"/>
          <w:sz w:val="18"/>
        </w:rPr>
        <w:t>图 7 Aucatzyl 批准说明中的部分安全性数据。</w:t>
      </w:r>
    </w:p>
    <w:p>
      <w:pPr>
        <w:pStyle w:val="Heading1"/>
      </w:pPr>
      <w:r>
        <w:t>八、伦理与公平：技术突破之后还有制度问题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新技术容易被讲成“突破”和“奇迹”，但对患者而言，真正重要的是能否在合适时间、合适医疗机构、以可承受方式接受规范治疗。NCI 2024 年文章报道，Iovance 公司宣布 Amtagvi 单次治疗价格为 515,000 美元。这个数字不代表所有细胞治疗的价格，但足以说明可及性问题是真实存在的。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治疗中心数量、患者身体条件、制造周期、保险支付和跨区域转诊能力，都会影响患者能否真正受益。因此，评价细胞治疗和免疫治疗不能只看临床试验中的缓解率，还要看长期安全数据、真实世界可及性、支付机制和区域医疗能力。</w:t>
      </w:r>
    </w:p>
    <w:p>
      <w:pPr>
        <w:pStyle w:val="Heading1"/>
      </w:pPr>
      <w:r>
        <w:t>九、结论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细胞治疗与免疫治疗代表现代医学的重要方向：治疗从单纯外部打击疾病，推进到重塑人体防御系统。它已经在部分血液肿瘤、TMB-H 实体瘤和特定晚期黑色素瘤中提供了新治疗选择，也推动临床医学、免疫学、基因工程、药品监管和医疗资源配置更紧密地结合。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本组态度是支持但不神化。支持，是因为这些治疗已经有明确临床证据，并且为部分难治患者提供了新机会；不神化，是因为它仍面临毒性、适应证、实体瘤难题、制造流程和费用可及性限制。负责任的评价标准应包括：证据是否充分、风险是否透明、随访是否长期、患者是否能够公平获得。</w:t>
      </w:r>
    </w:p>
    <w:p>
      <w:pPr>
        <w:pStyle w:val="Heading2"/>
      </w:pPr>
      <w:r>
        <w:t>实例证据汇总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疗法/药品</w:t>
            </w:r>
          </w:p>
        </w:tc>
        <w:tc>
          <w:tcPr>
            <w:tcW w:type="dxa" w:w="2340"/>
            <w:shd w:fill="F2F4F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疾病场景</w:t>
            </w:r>
          </w:p>
        </w:tc>
        <w:tc>
          <w:tcPr>
            <w:tcW w:type="dxa" w:w="2340"/>
            <w:shd w:fill="F2F4F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关键证据</w:t>
            </w:r>
          </w:p>
        </w:tc>
        <w:tc>
          <w:tcPr>
            <w:tcW w:type="dxa" w:w="2340"/>
            <w:shd w:fill="F2F4F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来源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Pembrolizumab</w:t>
            </w:r>
          </w:p>
        </w:tc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TMB-H 实体瘤</w:t>
            </w:r>
          </w:p>
        </w:tc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ORR 29%；57% 反应持续 ≥12 个月</w:t>
            </w:r>
          </w:p>
        </w:tc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FDA 2020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Kymriah</w:t>
            </w:r>
          </w:p>
        </w:tc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复发/难治 B-ALL 儿童与青年</w:t>
            </w:r>
          </w:p>
        </w:tc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63 人试验，3 个月总体缓解率 83%</w:t>
            </w:r>
          </w:p>
        </w:tc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NCI 2017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Aucatzyl</w:t>
            </w:r>
          </w:p>
        </w:tc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成人复发/难治 B 细胞前体 ALL</w:t>
            </w:r>
          </w:p>
        </w:tc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65 人中 27 人 3 个月内 CR，42%</w:t>
            </w:r>
          </w:p>
        </w:tc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FDA 2024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Amtagvi</w:t>
            </w:r>
          </w:p>
        </w:tc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特定不可切除或转移性黑色素瘤</w:t>
            </w:r>
          </w:p>
        </w:tc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73 人推荐剂量组 ORR 31.5%</w:t>
            </w:r>
          </w:p>
        </w:tc>
        <w:tc>
          <w:tcPr>
            <w:tcW w:type="dxa" w:w="234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FDA 2024</w:t>
            </w:r>
          </w:p>
        </w:tc>
      </w:tr>
    </w:tbl>
    <w:p>
      <w:pPr>
        <w:pStyle w:val="Heading1"/>
      </w:pPr>
      <w:r>
        <w:t>重点名词解释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名词</w:t>
            </w:r>
          </w:p>
        </w:tc>
        <w:tc>
          <w:tcPr>
            <w:tcW w:type="dxa" w:w="4680"/>
            <w:shd w:fill="F2F4F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解释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免疫治疗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通过增强、恢复或调节免疫系统功能来治疗疾病。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免疫检查点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免疫系统负调节机制，如 CTLA-4、PD-1、PD-L1；阻断它们可增强抗肿瘤免疫反应。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TMB-H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肿瘤突变负荷高，通常指肿瘤 DNA 中突变数量较高，可作为部分免疫治疗用药依据。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CAR-T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嵌合抗原受体 T 细胞治疗，通过基因工程改造 T 细胞，使其识别特定抗原。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TIL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肿瘤浸润淋巴细胞，从肿瘤组织中获得并扩增后回输患者。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ORR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客观缓解率，包括完全缓解和部分缓解。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CR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完全缓解，指可测量病灶消失或达到研究规定的完全缓解标准。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CRS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细胞因子释放综合征，CAR-T 等治疗中可能出现的全身炎症反应。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/>
                <w:color w:val="141A1F"/>
                <w:sz w:val="19"/>
              </w:rPr>
              <w:t>ICANS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SimSun" w:hAnsi="SimSun" w:eastAsia="SimSun"/>
                <w:b w:val="0"/>
                <w:color w:val="141A1F"/>
                <w:sz w:val="19"/>
              </w:rPr>
              <w:t>免疫效应细胞相关神经毒性综合征，可表现为意识、语言或神经功能异常。</w:t>
            </w:r>
          </w:p>
        </w:tc>
      </w:tr>
    </w:tbl>
    <w:p>
      <w:pPr>
        <w:pStyle w:val="Heading1"/>
      </w:pPr>
      <w:r>
        <w:t>参考资料</w:t>
      </w:r>
    </w:p>
    <w:p>
      <w:pPr>
        <w:pStyle w:val="ListBullet"/>
        <w:spacing w:before="0" w:after="80" w:line="252" w:lineRule="auto"/>
      </w:pPr>
      <w:r>
        <w:rPr>
          <w:rFonts w:ascii="SimSun" w:hAnsi="SimSun" w:eastAsia="SimSun"/>
          <w:b w:val="0"/>
          <w:color w:val="141A1F"/>
          <w:sz w:val="18"/>
        </w:rPr>
        <w:t>American Cancer Society, Global Cancer Statistics 2024：https://pressroom.cancer.org/GlobalCancerStatistics2024</w:t>
      </w:r>
    </w:p>
    <w:p>
      <w:pPr>
        <w:pStyle w:val="ListBullet"/>
        <w:spacing w:before="0" w:after="80" w:line="252" w:lineRule="auto"/>
      </w:pPr>
      <w:r>
        <w:rPr>
          <w:rFonts w:ascii="SimSun" w:hAnsi="SimSun" w:eastAsia="SimSun"/>
          <w:b w:val="0"/>
          <w:color w:val="141A1F"/>
          <w:sz w:val="18"/>
        </w:rPr>
        <w:t>National Cancer Institute, Immunotherapy to Treat Cancer：https://www.cancer.gov/about-cancer/treatment/types/immunotherapy</w:t>
      </w:r>
    </w:p>
    <w:p>
      <w:pPr>
        <w:pStyle w:val="ListBullet"/>
        <w:spacing w:before="0" w:after="80" w:line="252" w:lineRule="auto"/>
      </w:pPr>
      <w:r>
        <w:rPr>
          <w:rFonts w:ascii="SimSun" w:hAnsi="SimSun" w:eastAsia="SimSun"/>
          <w:b w:val="0"/>
          <w:color w:val="141A1F"/>
          <w:sz w:val="18"/>
        </w:rPr>
        <w:t>The Nobel Prize in Physiology or Medicine 2018, Press Release：https://www.nobelprize.org/prizes/medicine/2018/press-release/</w:t>
      </w:r>
    </w:p>
    <w:p>
      <w:pPr>
        <w:pStyle w:val="ListBullet"/>
        <w:spacing w:before="0" w:after="80" w:line="252" w:lineRule="auto"/>
      </w:pPr>
      <w:r>
        <w:rPr>
          <w:rFonts w:ascii="SimSun" w:hAnsi="SimSun" w:eastAsia="SimSun"/>
          <w:b w:val="0"/>
          <w:color w:val="141A1F"/>
          <w:sz w:val="18"/>
        </w:rPr>
        <w:t>NCI, CAR T-Cell Therapy Approved for Some Children and Young Adults with Leukemia：https://www.cancer.gov/news-events/cancer-currents-blog/2017/tisagenlecleucel-fda-childhood-leukemia</w:t>
      </w:r>
    </w:p>
    <w:p>
      <w:pPr>
        <w:pStyle w:val="ListBullet"/>
        <w:spacing w:before="0" w:after="80" w:line="252" w:lineRule="auto"/>
      </w:pPr>
      <w:r>
        <w:rPr>
          <w:rFonts w:ascii="SimSun" w:hAnsi="SimSun" w:eastAsia="SimSun"/>
          <w:b w:val="0"/>
          <w:color w:val="141A1F"/>
          <w:sz w:val="18"/>
        </w:rPr>
        <w:t>NCI, CAR T Cells: Engineering Immune Cells to Treat Cancer：https://www.cancer.gov/about-cancer/treatment/research/car-t-cells</w:t>
      </w:r>
    </w:p>
    <w:p>
      <w:pPr>
        <w:pStyle w:val="ListBullet"/>
        <w:spacing w:before="0" w:after="80" w:line="252" w:lineRule="auto"/>
      </w:pPr>
      <w:r>
        <w:rPr>
          <w:rFonts w:ascii="SimSun" w:hAnsi="SimSun" w:eastAsia="SimSun"/>
          <w:b w:val="0"/>
          <w:color w:val="141A1F"/>
          <w:sz w:val="18"/>
        </w:rPr>
        <w:t>FDA, Pembrolizumab for TMB-H Solid Tumors：https://www.fda.gov/drugs/drug-approvals-and-databases/fda-approves-pembrolizumab-adults-and-children-tmb-h-solid-tumors</w:t>
      </w:r>
    </w:p>
    <w:p>
      <w:pPr>
        <w:pStyle w:val="ListBullet"/>
        <w:spacing w:before="0" w:after="80" w:line="252" w:lineRule="auto"/>
      </w:pPr>
      <w:r>
        <w:rPr>
          <w:rFonts w:ascii="SimSun" w:hAnsi="SimSun" w:eastAsia="SimSun"/>
          <w:b w:val="0"/>
          <w:color w:val="141A1F"/>
          <w:sz w:val="18"/>
        </w:rPr>
        <w:t>FDA, Aucatzyl Approval：https://www.fda.gov/drugs/resources-information-approved-drugs/fda-approves-obecabtagene-autoleucel-adults-relapsed-or-refractory-b-cell-precursor-acute</w:t>
      </w:r>
    </w:p>
    <w:p>
      <w:pPr>
        <w:pStyle w:val="ListBullet"/>
        <w:spacing w:before="0" w:after="80" w:line="252" w:lineRule="auto"/>
      </w:pPr>
      <w:r>
        <w:rPr>
          <w:rFonts w:ascii="SimSun" w:hAnsi="SimSun" w:eastAsia="SimSun"/>
          <w:b w:val="0"/>
          <w:color w:val="141A1F"/>
          <w:sz w:val="18"/>
        </w:rPr>
        <w:t>FDA, Lifileucel/Amtagvi Accelerated Approval：https://www.fda.gov/drugs/resources-information-approved-drugs/fda-grants-accelerated-approval-lifileucel-unresectable-or-metastatic-melanoma</w:t>
      </w:r>
    </w:p>
    <w:p>
      <w:pPr>
        <w:pStyle w:val="ListBullet"/>
        <w:spacing w:before="0" w:after="80" w:line="252" w:lineRule="auto"/>
      </w:pPr>
      <w:r>
        <w:rPr>
          <w:rFonts w:ascii="SimSun" w:hAnsi="SimSun" w:eastAsia="SimSun"/>
          <w:b w:val="0"/>
          <w:color w:val="141A1F"/>
          <w:sz w:val="18"/>
        </w:rPr>
        <w:t>NCI, First Cancer TIL Therapy Gets FDA Approval for Advanced Melanoma：https://www.cancer.gov/news-events/cancer-currents-blog/2024/fda-amtagvi-til-therapy-melanoma</w:t>
      </w:r>
    </w:p>
    <w:p>
      <w:pPr>
        <w:pStyle w:val="ListBullet"/>
        <w:spacing w:before="0" w:after="80" w:line="252" w:lineRule="auto"/>
      </w:pPr>
      <w:r>
        <w:rPr>
          <w:rFonts w:ascii="SimSun" w:hAnsi="SimSun" w:eastAsia="SimSun"/>
          <w:b w:val="0"/>
          <w:color w:val="141A1F"/>
          <w:sz w:val="18"/>
        </w:rPr>
        <w:t>FDA, Boxed Warning for T-cell Malignancies after CAR-T：https://www.fda.gov/vaccines-blood-biologics/safety-availability-biologics/fda-requires-boxed-warning-t-cell-malignancies-following-treatment-bcma-directed-or-cd19-directed</w:t>
      </w:r>
    </w:p>
    <w:p>
      <w:pPr>
        <w:pStyle w:val="ListBullet"/>
        <w:spacing w:before="0" w:after="80" w:line="252" w:lineRule="auto"/>
      </w:pPr>
      <w:r>
        <w:rPr>
          <w:rFonts w:ascii="SimSun" w:hAnsi="SimSun" w:eastAsia="SimSun"/>
          <w:b w:val="0"/>
          <w:color w:val="141A1F"/>
          <w:sz w:val="18"/>
        </w:rPr>
        <w:t>NCI Visual Credit, TIL Therapy Infographic：https://www.cancer.gov/news-events/cancer-currents-blog/2024/fda-amtagvi-til-therapy-melanoma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