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64" w:lineRule="auto"/>
        <w:jc w:val="center"/>
      </w:pPr>
      <w:r>
        <w:rPr>
          <w:rFonts w:ascii="SimHei" w:hAnsi="SimHei" w:eastAsia="SimHei"/>
          <w:b/>
          <w:color w:val="12293A"/>
          <w:sz w:val="40"/>
        </w:rPr>
        <w:t>疾病的细胞治疗与免疫治疗：课程报告</w:t>
      </w:r>
    </w:p>
    <w:p>
      <w:pPr>
        <w:spacing w:before="0" w:after="280" w:line="264" w:lineRule="auto"/>
        <w:jc w:val="center"/>
      </w:pPr>
      <w:r>
        <w:rPr>
          <w:rFonts w:ascii="SimSun" w:hAnsi="SimSun" w:eastAsia="SimSun"/>
          <w:b w:val="0"/>
          <w:color w:val="596976"/>
          <w:sz w:val="22"/>
        </w:rPr>
        <w:t>从“杀死肿瘤”到“训练免疫”：医学治疗逻辑的转变</w:t>
      </w:r>
    </w:p>
    <w:p>
      <w:pPr>
        <w:pStyle w:val="Heading1"/>
      </w:pPr>
      <w:r>
        <w:t>摘要</w:t>
      </w:r>
    </w:p>
    <w:p>
      <w:pPr>
        <w:spacing w:before="0" w:after="120" w:line="269" w:lineRule="auto"/>
      </w:pPr>
      <w:r>
        <w:rPr>
          <w:rFonts w:ascii="SimSun" w:hAnsi="SimSun" w:eastAsia="SimSun"/>
          <w:b w:val="0"/>
          <w:color w:val="141A1F"/>
          <w:sz w:val="22"/>
        </w:rPr>
        <w:t>本报告围绕细胞治疗与免疫治疗展开，补充机制图片、临床实例和风险证据。报告认为，这类治疗的核心意义是把医学从外部杀伤推进到重塑人体免疫系统；它已经在部分血液肿瘤、TMB-H 实体瘤和特定黑色素瘤中显示价值，但仍需严格证据、毒性管理、长期随访和公平可及。</w:t>
      </w:r>
    </w:p>
    <w:p>
      <w:r>
        <w:drawing>
          <wp:inline xmlns:a="http://schemas.openxmlformats.org/drawingml/2006/main" xmlns:pic="http://schemas.openxmlformats.org/drawingml/2006/picture">
            <wp:extent cx="5394960" cy="30186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_全球癌症负担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18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64" w:lineRule="auto"/>
        <w:jc w:val="center"/>
      </w:pPr>
      <w:r>
        <w:rPr>
          <w:rFonts w:ascii="SimSun" w:hAnsi="SimSun" w:eastAsia="SimSun"/>
          <w:b w:val="0"/>
          <w:color w:val="596976"/>
          <w:sz w:val="18"/>
        </w:rPr>
        <w:t>图 1 全球癌症负担。数据来源：American Cancer Society Global Cancer Statistics 2024。</w:t>
      </w:r>
    </w:p>
    <w:p>
      <w:pPr>
        <w:pStyle w:val="Heading1"/>
      </w:pPr>
      <w:r>
        <w:t>一、选题说明与报告主张</w:t>
      </w:r>
    </w:p>
    <w:p>
      <w:pPr>
        <w:spacing w:before="0" w:after="120" w:line="269" w:lineRule="auto"/>
      </w:pPr>
      <w:r>
        <w:rPr>
          <w:rFonts w:ascii="SimSun" w:hAnsi="SimSun" w:eastAsia="SimSun"/>
          <w:b w:val="0"/>
          <w:color w:val="141A1F"/>
          <w:sz w:val="22"/>
        </w:rPr>
        <w:t>本组选题为“疾病的细胞治疗与免疫治疗”。根据课堂记录，图二中已经出现人口老龄化、食品安全、情绪与心理健康、人体实验和地中海贫血相关主题，因此本报告选择图一中未重复的“疾病的细胞治疗与免疫治疗”。</w:t>
      </w:r>
    </w:p>
    <w:p>
      <w:pPr>
        <w:spacing w:before="0" w:after="120" w:line="269" w:lineRule="auto"/>
      </w:pPr>
      <w:r>
        <w:rPr>
          <w:rFonts w:ascii="SimSun" w:hAnsi="SimSun" w:eastAsia="SimSun"/>
          <w:b w:val="0"/>
          <w:color w:val="141A1F"/>
          <w:sz w:val="22"/>
        </w:rPr>
        <w:t>本报告的主张是：细胞治疗与免疫治疗的价值不只是新增几种药物，而是改变医学治疗逻辑。传统治疗更多从外部直接处理病灶，而免疫治疗和细胞治疗试图调动、重塑或工程化人体自身防御系统。它已经在部分血液肿瘤、TMB-H 实体瘤和特定黑色素瘤中形成可观察的临床价值，但仍需要严格证据、毒性管理、长期随访和公平可及。</w:t>
      </w:r>
    </w:p>
    <w:p>
      <w:pPr>
        <w:pStyle w:val="Heading1"/>
      </w:pPr>
      <w:r>
        <w:t>二、疾病负担：为什么需要新的治疗逻辑</w:t>
      </w:r>
    </w:p>
    <w:p>
      <w:pPr>
        <w:spacing w:before="0" w:after="120" w:line="269" w:lineRule="auto"/>
      </w:pPr>
      <w:r>
        <w:rPr>
          <w:rFonts w:ascii="SimSun" w:hAnsi="SimSun" w:eastAsia="SimSun"/>
          <w:b w:val="0"/>
          <w:color w:val="141A1F"/>
          <w:sz w:val="22"/>
        </w:rPr>
        <w:t>American Cancer Society 发布的 Global Cancer Statistics 2024 显示，2022 年全球约有 2000 万新发癌症病例、约 970 万死亡；到 2050 年，全球新发癌症病例预计约 3500 万。这一数字说明，癌症不是少数患者的偶发问题，而是会长期影响医疗体系、财政支付和家庭生活的公共卫生问题。</w:t>
      </w:r>
    </w:p>
    <w:p>
      <w:pPr>
        <w:spacing w:before="0" w:after="120" w:line="269" w:lineRule="auto"/>
      </w:pPr>
      <w:r>
        <w:rPr>
          <w:rFonts w:ascii="SimSun" w:hAnsi="SimSun" w:eastAsia="SimSun"/>
          <w:b w:val="0"/>
          <w:color w:val="141A1F"/>
          <w:sz w:val="22"/>
        </w:rPr>
        <w:t>传统治疗仍然是基础，例如手术、放疗、化疗在许多癌种中仍是标准治疗。但当疾病复发、耐药、转移或处于晚期阶段时，直接杀伤式治疗可能遇到边界。免疫治疗和细胞治疗的重要性，正是在于它们把治疗对象从“病灶本身”扩展到“病灶与免疫系统之间的关系”。</w:t>
      </w:r>
    </w:p>
    <w:p>
      <w:pPr>
        <w:pStyle w:val="Heading1"/>
      </w:pPr>
      <w:r>
        <w:t>三、免疫检查点：解除免疫系统的“刹车”</w:t>
      </w:r>
    </w:p>
    <w:p>
      <w:pPr>
        <w:spacing w:before="0" w:after="120" w:line="269" w:lineRule="auto"/>
      </w:pPr>
      <w:r>
        <w:rPr>
          <w:rFonts w:ascii="SimSun" w:hAnsi="SimSun" w:eastAsia="SimSun"/>
          <w:b w:val="0"/>
          <w:color w:val="141A1F"/>
          <w:sz w:val="22"/>
        </w:rPr>
        <w:t>NCI 对免疫治疗的解释是：免疫治疗帮助免疫系统对抗癌症。癌细胞可以通过降低自身可见性、表达关闭免疫细胞的表面蛋白、改变肿瘤周围正常细胞等方式逃避免疫系统。免疫检查点抑制剂的核心逻辑，就是阻断癌细胞利用的免疫负调节机制。</w:t>
      </w:r>
    </w:p>
    <w:p>
      <w:pPr>
        <w:spacing w:before="0" w:after="120" w:line="269" w:lineRule="auto"/>
      </w:pPr>
      <w:r>
        <w:rPr>
          <w:rFonts w:ascii="SimSun" w:hAnsi="SimSun" w:eastAsia="SimSun"/>
          <w:b w:val="0"/>
          <w:color w:val="141A1F"/>
          <w:sz w:val="22"/>
        </w:rPr>
        <w:t>2018 年诺贝尔生理学或医学奖授予 James P. Allison 与 Tasuku Honjo，以表彰他们发现通过抑制免疫负调节治疗癌症。这个奖项的意义不只是表彰两位科学家，而是说明检查点抑制剂建立了一种新的治疗原则：不是直接杀伤癌细胞，而是释放免疫系统原本被压制的攻击能力。</w:t>
      </w:r>
    </w:p>
    <w:p>
      <w:pPr>
        <w:spacing w:before="0" w:after="120" w:line="269" w:lineRule="auto"/>
      </w:pPr>
      <w:r>
        <w:rPr>
          <w:rFonts w:ascii="SimSun" w:hAnsi="SimSun" w:eastAsia="SimSun"/>
          <w:b w:val="0"/>
          <w:color w:val="141A1F"/>
          <w:sz w:val="22"/>
        </w:rPr>
        <w:t>Pembrolizumab 是一个可用于说明“按生物标志物用药”的实例。FDA 在 2020 年加速批准 pembrolizumab 用于 TMB-H 实体瘤。KEYNOTE-158 中 102 名 TMB-H 患者客观缓解率为 29%，其中完全缓解 4%、部分缓解 25%；57% 的反应持续至少 12 个月，50% 持续至少 24 个月。这个例子说明，现代免疫治疗正在把疾病分类从器官位置推进到分子特征。</w:t>
      </w:r>
    </w:p>
    <w:p>
      <w:r>
        <w:drawing>
          <wp:inline xmlns:a="http://schemas.openxmlformats.org/drawingml/2006/main" xmlns:pic="http://schemas.openxmlformats.org/drawingml/2006/picture">
            <wp:extent cx="5394960" cy="30571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_免疫检查点示意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571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64" w:lineRule="auto"/>
        <w:jc w:val="center"/>
      </w:pPr>
      <w:r>
        <w:rPr>
          <w:rFonts w:ascii="SimSun" w:hAnsi="SimSun" w:eastAsia="SimSun"/>
          <w:b w:val="0"/>
          <w:color w:val="596976"/>
          <w:sz w:val="18"/>
        </w:rPr>
        <w:t>图 2 免疫检查点机制示意图。</w:t>
      </w:r>
    </w:p>
    <w:p>
      <w:pPr>
        <w:pStyle w:val="Heading1"/>
      </w:pPr>
      <w:r>
        <w:t>四、CAR-T：工程化 T 细胞作为“活的药物”</w:t>
      </w:r>
    </w:p>
    <w:p>
      <w:pPr>
        <w:spacing w:before="0" w:after="120" w:line="269" w:lineRule="auto"/>
      </w:pPr>
      <w:r>
        <w:rPr>
          <w:rFonts w:ascii="SimSun" w:hAnsi="SimSun" w:eastAsia="SimSun"/>
          <w:b w:val="0"/>
          <w:color w:val="141A1F"/>
          <w:sz w:val="22"/>
        </w:rPr>
        <w:t>CAR-T 指嵌合抗原受体 T 细胞治疗。其基本流程是采集患者 T 细胞，在体外加入能够识别肿瘤抗原的 CAR，扩增后再回输患者体内。它与普通药物不同，因为治疗材料本身是活细胞，可以在体内继续识别、扩增并攻击表达相应靶点的细胞。</w:t>
      </w:r>
    </w:p>
    <w:p>
      <w:pPr>
        <w:spacing w:before="0" w:after="120" w:line="269" w:lineRule="auto"/>
      </w:pPr>
      <w:r>
        <w:rPr>
          <w:rFonts w:ascii="SimSun" w:hAnsi="SimSun" w:eastAsia="SimSun"/>
          <w:b w:val="0"/>
          <w:color w:val="141A1F"/>
          <w:sz w:val="22"/>
        </w:rPr>
        <w:t>Kymriah 是首个 FDA 批准的 CAR-T 疗法。NCI 资料显示，它用于 25 岁及以下、复发或难治 B 细胞急性淋巴细胞白血病患者；批准依据是一项包括 63 名儿童和青年患者的多中心临床试验，3 个月总体缓解率为 83%。Kymriah 的意义在于，它把几十年的免疫学和细胞工程研究推进到可监管、可实施的临床治疗。</w:t>
      </w:r>
    </w:p>
    <w:p>
      <w:pPr>
        <w:spacing w:before="0" w:after="120" w:line="269" w:lineRule="auto"/>
      </w:pPr>
      <w:r>
        <w:rPr>
          <w:rFonts w:ascii="SimSun" w:hAnsi="SimSun" w:eastAsia="SimSun"/>
          <w:b w:val="0"/>
          <w:color w:val="141A1F"/>
          <w:sz w:val="22"/>
        </w:rPr>
        <w:t>Aucatzyl 则可以说明细胞治疗必须同时讨论疗效与风险。FDA 2024 年批准 Aucatzyl 用于成人复发或难治 B 细胞前体急性淋巴细胞白血病。65 名可评估患者中，27 名在 3 个月内达到完全缓解，比例为 42%；但同一资料显示 CRS 发生率为 75%，神经毒性为 64%，ICANS 为 24%。这说明细胞治疗不是“越强越好”，而是需要治疗中心具备识别和处理严重不良反应的能力。</w:t>
      </w:r>
    </w:p>
    <w:p>
      <w:r>
        <w:drawing>
          <wp:inline xmlns:a="http://schemas.openxmlformats.org/drawingml/2006/main" xmlns:pic="http://schemas.openxmlformats.org/drawingml/2006/picture">
            <wp:extent cx="5394960" cy="31539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_CAR-T流程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153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64" w:lineRule="auto"/>
        <w:jc w:val="center"/>
      </w:pPr>
      <w:r>
        <w:rPr>
          <w:rFonts w:ascii="SimSun" w:hAnsi="SimSun" w:eastAsia="SimSun"/>
          <w:b w:val="0"/>
          <w:color w:val="596976"/>
          <w:sz w:val="18"/>
        </w:rPr>
        <w:t>图 3 CAR-T 治疗流程中文示意图。</w:t>
      </w:r>
    </w:p>
    <w:p>
      <w:r>
        <w:drawing>
          <wp:inline xmlns:a="http://schemas.openxmlformats.org/drawingml/2006/main" xmlns:pic="http://schemas.openxmlformats.org/drawingml/2006/picture">
            <wp:extent cx="5394960" cy="298937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4_临床案例证据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893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64" w:lineRule="auto"/>
        <w:jc w:val="center"/>
      </w:pPr>
      <w:r>
        <w:rPr>
          <w:rFonts w:ascii="SimSun" w:hAnsi="SimSun" w:eastAsia="SimSun"/>
          <w:b w:val="0"/>
          <w:color w:val="596976"/>
          <w:sz w:val="18"/>
        </w:rPr>
        <w:t>图 4 临床实例证据图。不同终点不能直接比较疗法优劣。</w:t>
      </w:r>
    </w:p>
    <w:p>
      <w:pPr>
        <w:pStyle w:val="Heading1"/>
      </w:pPr>
      <w:r>
        <w:t>五、TIL：从实体瘤中扩增已经进入肿瘤的 T 细胞</w:t>
      </w:r>
    </w:p>
    <w:p>
      <w:pPr>
        <w:spacing w:before="0" w:after="120" w:line="269" w:lineRule="auto"/>
      </w:pPr>
      <w:r>
        <w:rPr>
          <w:rFonts w:ascii="SimSun" w:hAnsi="SimSun" w:eastAsia="SimSun"/>
          <w:b w:val="0"/>
          <w:color w:val="141A1F"/>
          <w:sz w:val="22"/>
        </w:rPr>
        <w:t>TIL 是肿瘤浸润淋巴细胞。与 CAR-T 不同，TIL 通常来自患者肿瘤组织，而不是主要来自外周血。TIL 的逻辑是：既然部分 T 细胞已经进入肿瘤组织，就说明它们可能已经具备识别肿瘤的能力；临床流程再把这些细胞分离、体外扩增，并配合预处理和 IL-2 支持后回输患者。</w:t>
      </w:r>
    </w:p>
    <w:p>
      <w:pPr>
        <w:spacing w:before="0" w:after="120" w:line="269" w:lineRule="auto"/>
      </w:pPr>
      <w:r>
        <w:rPr>
          <w:rFonts w:ascii="SimSun" w:hAnsi="SimSun" w:eastAsia="SimSun"/>
          <w:b w:val="0"/>
          <w:color w:val="141A1F"/>
          <w:sz w:val="22"/>
        </w:rPr>
        <w:t>Amtagvi 是 TIL 细胞治疗的重要实例。FDA 在 2024 年加速批准 lifileucel/Amtagvi 用于特定不可切除或转移性黑色素瘤患者。FDA 资料显示，73 名推荐剂量患者客观缓解率为 31.5%，中位初始反应时间为 1.5 个月。其意义在于，细胞治疗不再只停留在血液肿瘤，而是开始进入实体瘤治疗。需要注意的是，这是加速批准，仍需要确认性试验验证临床获益。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CI_TIL_therapy_infographic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64" w:lineRule="auto"/>
        <w:jc w:val="center"/>
      </w:pPr>
      <w:r>
        <w:rPr>
          <w:rFonts w:ascii="SimSun" w:hAnsi="SimSun" w:eastAsia="SimSun"/>
          <w:b w:val="0"/>
          <w:color w:val="596976"/>
          <w:sz w:val="18"/>
        </w:rPr>
        <w:t>图 5 TIL 治疗流程。图片来源：National Cancer Institute。</w:t>
      </w:r>
    </w:p>
    <w:p>
      <w:pPr>
        <w:pStyle w:val="Heading1"/>
      </w:pPr>
      <w:r>
        <w:t>六、临床路径：从用药变成医疗工程</w:t>
      </w:r>
    </w:p>
    <w:p>
      <w:pPr>
        <w:spacing w:before="0" w:after="120" w:line="269" w:lineRule="auto"/>
      </w:pPr>
      <w:r>
        <w:rPr>
          <w:rFonts w:ascii="SimSun" w:hAnsi="SimSun" w:eastAsia="SimSun"/>
          <w:b w:val="0"/>
          <w:color w:val="141A1F"/>
          <w:sz w:val="22"/>
        </w:rPr>
        <w:t>细胞治疗改变的不只是药物类型，也改变了医疗流程。普通药物治疗通常可以理解为“医生处方、药房配药、患者用药”；而 CAR-T 和 TIL 更像医疗工程。流程包括适应证判断、细胞采集、运输、制造、质量控制、预处理、回输、不良反应处理和长期随访。</w:t>
      </w:r>
    </w:p>
    <w:p>
      <w:pPr>
        <w:spacing w:before="0" w:after="120" w:line="269" w:lineRule="auto"/>
      </w:pPr>
      <w:r>
        <w:rPr>
          <w:rFonts w:ascii="SimSun" w:hAnsi="SimSun" w:eastAsia="SimSun"/>
          <w:b w:val="0"/>
          <w:color w:val="141A1F"/>
          <w:sz w:val="22"/>
        </w:rPr>
        <w:t>这要求医疗机构具备更强的协作能力：临床科室要判断患者是否适合治疗，实验室或制造机构要保证细胞产品质量，急诊和重症团队要能处理 CRS、ICANS 等急性风险，随访体系要记录长期疗效和继发风险。</w:t>
      </w:r>
    </w:p>
    <w:p>
      <w:r>
        <w:drawing>
          <wp:inline xmlns:a="http://schemas.openxmlformats.org/drawingml/2006/main" xmlns:pic="http://schemas.openxmlformats.org/drawingml/2006/picture">
            <wp:extent cx="5394960" cy="298797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6_患者路径图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879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64" w:lineRule="auto"/>
        <w:jc w:val="center"/>
      </w:pPr>
      <w:r>
        <w:rPr>
          <w:rFonts w:ascii="SimSun" w:hAnsi="SimSun" w:eastAsia="SimSun"/>
          <w:b w:val="0"/>
          <w:color w:val="596976"/>
          <w:sz w:val="18"/>
        </w:rPr>
        <w:t>图 6 细胞治疗患者路径。</w:t>
      </w:r>
    </w:p>
    <w:p>
      <w:pPr>
        <w:pStyle w:val="Heading1"/>
      </w:pPr>
      <w:r>
        <w:t>七、风险、限制与监管要求</w:t>
      </w:r>
    </w:p>
    <w:p>
      <w:pPr>
        <w:spacing w:before="0" w:after="120" w:line="269" w:lineRule="auto"/>
      </w:pPr>
      <w:r>
        <w:rPr>
          <w:rFonts w:ascii="SimSun" w:hAnsi="SimSun" w:eastAsia="SimSun"/>
          <w:b w:val="0"/>
          <w:color w:val="141A1F"/>
          <w:sz w:val="22"/>
        </w:rPr>
        <w:t>细胞治疗与免疫治疗不能被包装成万能疗法。首先，实体瘤仍是难点。NCI 对 CAR-T 实体瘤开发的总结指出，困难包括很难找到只存在于肿瘤细胞而不损伤健康细胞的靶抗原，肿瘤微环境会抑制免疫细胞功能，肿瘤异质性也会让单一靶点治疗失效。</w:t>
      </w:r>
    </w:p>
    <w:p>
      <w:pPr>
        <w:spacing w:before="0" w:after="120" w:line="269" w:lineRule="auto"/>
      </w:pPr>
      <w:r>
        <w:rPr>
          <w:rFonts w:ascii="SimSun" w:hAnsi="SimSun" w:eastAsia="SimSun"/>
          <w:b w:val="0"/>
          <w:color w:val="141A1F"/>
          <w:sz w:val="22"/>
        </w:rPr>
        <w:t>其次，毒性管理必须制度化。CAR-T 治疗中，CRS 和 ICANS 是重点风险。FDA 还在 2024 年要求 BCMA 或 CD19 靶向自体 CAR-T 产品加入 T 细胞恶性肿瘤风险黑框警告，并要求接受相关治疗的患者终身监测继发性恶性肿瘤。由此可见，疗效越强，监管、随访和风险沟通越不能弱化。</w:t>
      </w:r>
    </w:p>
    <w:p>
      <w:r>
        <w:drawing>
          <wp:inline xmlns:a="http://schemas.openxmlformats.org/drawingml/2006/main" xmlns:pic="http://schemas.openxmlformats.org/drawingml/2006/picture">
            <wp:extent cx="5394960" cy="279210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5_风险数据图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921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64" w:lineRule="auto"/>
        <w:jc w:val="center"/>
      </w:pPr>
      <w:r>
        <w:rPr>
          <w:rFonts w:ascii="SimSun" w:hAnsi="SimSun" w:eastAsia="SimSun"/>
          <w:b w:val="0"/>
          <w:color w:val="596976"/>
          <w:sz w:val="18"/>
        </w:rPr>
        <w:t>图 7 Aucatzyl 批准说明中的部分安全性数据。</w:t>
      </w:r>
    </w:p>
    <w:p>
      <w:pPr>
        <w:pStyle w:val="Heading1"/>
      </w:pPr>
      <w:r>
        <w:t>八、伦理与公平：技术突破之后还有制度问题</w:t>
      </w:r>
    </w:p>
    <w:p>
      <w:pPr>
        <w:spacing w:before="0" w:after="120" w:line="269" w:lineRule="auto"/>
      </w:pPr>
      <w:r>
        <w:rPr>
          <w:rFonts w:ascii="SimSun" w:hAnsi="SimSun" w:eastAsia="SimSun"/>
          <w:b w:val="0"/>
          <w:color w:val="141A1F"/>
          <w:sz w:val="22"/>
        </w:rPr>
        <w:t>新技术容易被讲成“突破”和“奇迹”，但对患者而言，真正重要的是能否在合适时间、合适医疗机构、以可承受方式接受规范治疗。NCI 2024 年文章报道，Iovance 公司宣布 Amtagvi 单次治疗价格为 515,000 美元。这个数字不代表所有细胞治疗的价格，但足以说明可及性问题是真实存在的。</w:t>
      </w:r>
    </w:p>
    <w:p>
      <w:pPr>
        <w:spacing w:before="0" w:after="120" w:line="269" w:lineRule="auto"/>
      </w:pPr>
      <w:r>
        <w:rPr>
          <w:rFonts w:ascii="SimSun" w:hAnsi="SimSun" w:eastAsia="SimSun"/>
          <w:b w:val="0"/>
          <w:color w:val="141A1F"/>
          <w:sz w:val="22"/>
        </w:rPr>
        <w:t>治疗中心数量、患者身体条件、制造周期、保险支付和跨区域转诊能力，都会影响患者能否真正受益。因此，评价细胞治疗和免疫治疗不能只看临床试验中的缓解率，还要看长期安全数据、真实世界可及性、支付机制和区域医疗能力。</w:t>
      </w:r>
    </w:p>
    <w:p>
      <w:pPr>
        <w:pStyle w:val="Heading1"/>
      </w:pPr>
      <w:r>
        <w:t>九、结论</w:t>
      </w:r>
    </w:p>
    <w:p>
      <w:pPr>
        <w:spacing w:before="0" w:after="120" w:line="269" w:lineRule="auto"/>
      </w:pPr>
      <w:r>
        <w:rPr>
          <w:rFonts w:ascii="SimSun" w:hAnsi="SimSun" w:eastAsia="SimSun"/>
          <w:b w:val="0"/>
          <w:color w:val="141A1F"/>
          <w:sz w:val="22"/>
        </w:rPr>
        <w:t>细胞治疗与免疫治疗代表现代医学的重要方向：治疗从单纯外部打击疾病，推进到重塑人体防御系统。它已经在部分血液肿瘤、TMB-H 实体瘤和特定晚期黑色素瘤中提供了新治疗选择，也推动临床医学、免疫学、基因工程、药品监管和医疗资源配置更紧密地结合。</w:t>
      </w:r>
    </w:p>
    <w:p>
      <w:pPr>
        <w:spacing w:before="0" w:after="120" w:line="269" w:lineRule="auto"/>
      </w:pPr>
      <w:r>
        <w:rPr>
          <w:rFonts w:ascii="SimSun" w:hAnsi="SimSun" w:eastAsia="SimSun"/>
          <w:b w:val="0"/>
          <w:color w:val="141A1F"/>
          <w:sz w:val="22"/>
        </w:rPr>
        <w:t>本组态度是支持但不神化。支持，是因为这些治疗已经有明确临床证据，并且为部分难治患者提供了新机会；不神化，是因为它仍面临毒性、适应证、实体瘤难题、制造流程和费用可及性限制。负责任的评价标准应包括：证据是否充分、风险是否透明、随访是否长期、患者是否能够公平获得。</w:t>
      </w:r>
    </w:p>
    <w:p>
      <w:pPr>
        <w:pStyle w:val="Heading2"/>
      </w:pPr>
      <w:r>
        <w:t>实例证据汇总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4F7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/>
                <w:color w:val="141A1F"/>
                <w:sz w:val="19"/>
              </w:rPr>
              <w:t>疗法/药品</w:t>
            </w:r>
          </w:p>
        </w:tc>
        <w:tc>
          <w:tcPr>
            <w:tcW w:type="dxa" w:w="2340"/>
            <w:shd w:fill="F2F4F7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/>
                <w:color w:val="141A1F"/>
                <w:sz w:val="19"/>
              </w:rPr>
              <w:t>疾病场景</w:t>
            </w:r>
          </w:p>
        </w:tc>
        <w:tc>
          <w:tcPr>
            <w:tcW w:type="dxa" w:w="2340"/>
            <w:shd w:fill="F2F4F7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/>
                <w:color w:val="141A1F"/>
                <w:sz w:val="19"/>
              </w:rPr>
              <w:t>关键证据</w:t>
            </w:r>
          </w:p>
        </w:tc>
        <w:tc>
          <w:tcPr>
            <w:tcW w:type="dxa" w:w="2340"/>
            <w:shd w:fill="F2F4F7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/>
                <w:color w:val="141A1F"/>
                <w:sz w:val="19"/>
              </w:rPr>
              <w:t>来源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/>
                <w:color w:val="141A1F"/>
                <w:sz w:val="19"/>
              </w:rPr>
              <w:t>Pembrolizumab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color w:val="141A1F"/>
                <w:sz w:val="19"/>
              </w:rPr>
              <w:t>TMB-H 实体瘤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color w:val="141A1F"/>
                <w:sz w:val="19"/>
              </w:rPr>
              <w:t>ORR 29%；57% 反应持续 ≥12 个月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color w:val="141A1F"/>
                <w:sz w:val="19"/>
              </w:rPr>
              <w:t>FDA 2020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/>
                <w:color w:val="141A1F"/>
                <w:sz w:val="19"/>
              </w:rPr>
              <w:t>Kymriah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color w:val="141A1F"/>
                <w:sz w:val="19"/>
              </w:rPr>
              <w:t>复发/难治 B-ALL 儿童与青年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color w:val="141A1F"/>
                <w:sz w:val="19"/>
              </w:rPr>
              <w:t>63 人试验，3 个月总体缓解率 83%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color w:val="141A1F"/>
                <w:sz w:val="19"/>
              </w:rPr>
              <w:t>NCI 2017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/>
                <w:color w:val="141A1F"/>
                <w:sz w:val="19"/>
              </w:rPr>
              <w:t>Aucatzyl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color w:val="141A1F"/>
                <w:sz w:val="19"/>
              </w:rPr>
              <w:t>成人复发/难治 B 细胞前体 ALL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color w:val="141A1F"/>
                <w:sz w:val="19"/>
              </w:rPr>
              <w:t>65 人中 27 人 3 个月内 CR，42%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color w:val="141A1F"/>
                <w:sz w:val="19"/>
              </w:rPr>
              <w:t>FDA 2024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/>
                <w:color w:val="141A1F"/>
                <w:sz w:val="19"/>
              </w:rPr>
              <w:t>Amtagvi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color w:val="141A1F"/>
                <w:sz w:val="19"/>
              </w:rPr>
              <w:t>特定不可切除或转移性黑色素瘤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color w:val="141A1F"/>
                <w:sz w:val="19"/>
              </w:rPr>
              <w:t>73 人推荐剂量组 ORR 31.5%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color w:val="141A1F"/>
                <w:sz w:val="19"/>
              </w:rPr>
              <w:t>FDA 2024</w:t>
            </w:r>
          </w:p>
        </w:tc>
      </w:tr>
    </w:tbl>
    <w:p>
      <w:pPr>
        <w:pStyle w:val="Heading1"/>
      </w:pPr>
      <w:r>
        <w:t>重点名词解释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2F4F7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/>
                <w:color w:val="141A1F"/>
                <w:sz w:val="19"/>
              </w:rPr>
              <w:t>名词</w:t>
            </w:r>
          </w:p>
        </w:tc>
        <w:tc>
          <w:tcPr>
            <w:tcW w:type="dxa" w:w="4680"/>
            <w:shd w:fill="F2F4F7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/>
                <w:color w:val="141A1F"/>
                <w:sz w:val="19"/>
              </w:rPr>
              <w:t>解释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/>
                <w:color w:val="141A1F"/>
                <w:sz w:val="19"/>
              </w:rPr>
              <w:t>免疫治疗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color w:val="141A1F"/>
                <w:sz w:val="19"/>
              </w:rPr>
              <w:t>通过增强、恢复或调节免疫系统功能来治疗疾病。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/>
                <w:color w:val="141A1F"/>
                <w:sz w:val="19"/>
              </w:rPr>
              <w:t>免疫检查点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color w:val="141A1F"/>
                <w:sz w:val="19"/>
              </w:rPr>
              <w:t>免疫系统负调节机制，如 CTLA-4、PD-1、PD-L1；阻断它们可增强抗肿瘤免疫反应。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/>
                <w:color w:val="141A1F"/>
                <w:sz w:val="19"/>
              </w:rPr>
              <w:t>TMB-H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color w:val="141A1F"/>
                <w:sz w:val="19"/>
              </w:rPr>
              <w:t>肿瘤突变负荷高，通常指肿瘤 DNA 中突变数量较高，可作为部分免疫治疗用药依据。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/>
                <w:color w:val="141A1F"/>
                <w:sz w:val="19"/>
              </w:rPr>
              <w:t>CAR-T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color w:val="141A1F"/>
                <w:sz w:val="19"/>
              </w:rPr>
              <w:t>嵌合抗原受体 T 细胞治疗，通过基因工程改造 T 细胞，使其识别特定抗原。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/>
                <w:color w:val="141A1F"/>
                <w:sz w:val="19"/>
              </w:rPr>
              <w:t>TIL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color w:val="141A1F"/>
                <w:sz w:val="19"/>
              </w:rPr>
              <w:t>肿瘤浸润淋巴细胞，从肿瘤组织中获得并扩增后回输患者。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/>
                <w:color w:val="141A1F"/>
                <w:sz w:val="19"/>
              </w:rPr>
              <w:t>ORR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color w:val="141A1F"/>
                <w:sz w:val="19"/>
              </w:rPr>
              <w:t>客观缓解率，包括完全缓解和部分缓解。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/>
                <w:color w:val="141A1F"/>
                <w:sz w:val="19"/>
              </w:rPr>
              <w:t>CR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color w:val="141A1F"/>
                <w:sz w:val="19"/>
              </w:rPr>
              <w:t>完全缓解，指可测量病灶消失或达到研究规定的完全缓解标准。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/>
                <w:color w:val="141A1F"/>
                <w:sz w:val="19"/>
              </w:rPr>
              <w:t>CRS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color w:val="141A1F"/>
                <w:sz w:val="19"/>
              </w:rPr>
              <w:t>细胞因子释放综合征，CAR-T 等治疗中可能出现的全身炎症反应。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/>
                <w:color w:val="141A1F"/>
                <w:sz w:val="19"/>
              </w:rPr>
              <w:t>ICANS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SimSun" w:hAnsi="SimSun" w:eastAsia="SimSun"/>
                <w:b w:val="0"/>
                <w:color w:val="141A1F"/>
                <w:sz w:val="19"/>
              </w:rPr>
              <w:t>免疫效应细胞相关神经毒性综合征，可表现为意识、语言或神经功能异常。</w:t>
            </w:r>
          </w:p>
        </w:tc>
      </w:tr>
    </w:tbl>
    <w:p>
      <w:pPr>
        <w:pStyle w:val="Heading1"/>
      </w:pPr>
      <w:r>
        <w:t>参考资料</w:t>
      </w:r>
    </w:p>
    <w:p>
      <w:pPr>
        <w:pStyle w:val="ListBullet"/>
        <w:spacing w:before="0" w:after="80" w:line="252" w:lineRule="auto"/>
      </w:pPr>
      <w:r>
        <w:rPr>
          <w:rFonts w:ascii="SimSun" w:hAnsi="SimSun" w:eastAsia="SimSun"/>
          <w:b w:val="0"/>
          <w:color w:val="141A1F"/>
          <w:sz w:val="18"/>
        </w:rPr>
        <w:t>American Cancer Society, Global Cancer Statistics 2024：https://pressroom.cancer.org/GlobalCancerStatistics2024</w:t>
      </w:r>
    </w:p>
    <w:p>
      <w:pPr>
        <w:pStyle w:val="ListBullet"/>
        <w:spacing w:before="0" w:after="80" w:line="252" w:lineRule="auto"/>
      </w:pPr>
      <w:r>
        <w:rPr>
          <w:rFonts w:ascii="SimSun" w:hAnsi="SimSun" w:eastAsia="SimSun"/>
          <w:b w:val="0"/>
          <w:color w:val="141A1F"/>
          <w:sz w:val="18"/>
        </w:rPr>
        <w:t>National Cancer Institute, Immunotherapy to Treat Cancer：https://www.cancer.gov/about-cancer/treatment/types/immunotherapy</w:t>
      </w:r>
    </w:p>
    <w:p>
      <w:pPr>
        <w:pStyle w:val="ListBullet"/>
        <w:spacing w:before="0" w:after="80" w:line="252" w:lineRule="auto"/>
      </w:pPr>
      <w:r>
        <w:rPr>
          <w:rFonts w:ascii="SimSun" w:hAnsi="SimSun" w:eastAsia="SimSun"/>
          <w:b w:val="0"/>
          <w:color w:val="141A1F"/>
          <w:sz w:val="18"/>
        </w:rPr>
        <w:t>The Nobel Prize in Physiology or Medicine 2018, Press Release：https://www.nobelprize.org/prizes/medicine/2018/press-release/</w:t>
      </w:r>
    </w:p>
    <w:p>
      <w:pPr>
        <w:pStyle w:val="ListBullet"/>
        <w:spacing w:before="0" w:after="80" w:line="252" w:lineRule="auto"/>
      </w:pPr>
      <w:r>
        <w:rPr>
          <w:rFonts w:ascii="SimSun" w:hAnsi="SimSun" w:eastAsia="SimSun"/>
          <w:b w:val="0"/>
          <w:color w:val="141A1F"/>
          <w:sz w:val="18"/>
        </w:rPr>
        <w:t>NCI, CAR T-Cell Therapy Approved for Some Children and Young Adults with Leukemia：https://www.cancer.gov/news-events/cancer-currents-blog/2017/tisagenlecleucel-fda-childhood-leukemia</w:t>
      </w:r>
    </w:p>
    <w:p>
      <w:pPr>
        <w:pStyle w:val="ListBullet"/>
        <w:spacing w:before="0" w:after="80" w:line="252" w:lineRule="auto"/>
      </w:pPr>
      <w:r>
        <w:rPr>
          <w:rFonts w:ascii="SimSun" w:hAnsi="SimSun" w:eastAsia="SimSun"/>
          <w:b w:val="0"/>
          <w:color w:val="141A1F"/>
          <w:sz w:val="18"/>
        </w:rPr>
        <w:t>NCI, CAR T Cells: Engineering Immune Cells to Treat Cancer：https://www.cancer.gov/about-cancer/treatment/research/car-t-cells</w:t>
      </w:r>
    </w:p>
    <w:p>
      <w:pPr>
        <w:pStyle w:val="ListBullet"/>
        <w:spacing w:before="0" w:after="80" w:line="252" w:lineRule="auto"/>
      </w:pPr>
      <w:r>
        <w:rPr>
          <w:rFonts w:ascii="SimSun" w:hAnsi="SimSun" w:eastAsia="SimSun"/>
          <w:b w:val="0"/>
          <w:color w:val="141A1F"/>
          <w:sz w:val="18"/>
        </w:rPr>
        <w:t>FDA, Pembrolizumab for TMB-H Solid Tumors：https://www.fda.gov/drugs/drug-approvals-and-databases/fda-approves-pembrolizumab-adults-and-children-tmb-h-solid-tumors</w:t>
      </w:r>
    </w:p>
    <w:p>
      <w:pPr>
        <w:pStyle w:val="ListBullet"/>
        <w:spacing w:before="0" w:after="80" w:line="252" w:lineRule="auto"/>
      </w:pPr>
      <w:r>
        <w:rPr>
          <w:rFonts w:ascii="SimSun" w:hAnsi="SimSun" w:eastAsia="SimSun"/>
          <w:b w:val="0"/>
          <w:color w:val="141A1F"/>
          <w:sz w:val="18"/>
        </w:rPr>
        <w:t>FDA, Aucatzyl Approval：https://www.fda.gov/drugs/resources-information-approved-drugs/fda-approves-obecabtagene-autoleucel-adults-relapsed-or-refractory-b-cell-precursor-acute</w:t>
      </w:r>
    </w:p>
    <w:p>
      <w:pPr>
        <w:pStyle w:val="ListBullet"/>
        <w:spacing w:before="0" w:after="80" w:line="252" w:lineRule="auto"/>
      </w:pPr>
      <w:r>
        <w:rPr>
          <w:rFonts w:ascii="SimSun" w:hAnsi="SimSun" w:eastAsia="SimSun"/>
          <w:b w:val="0"/>
          <w:color w:val="141A1F"/>
          <w:sz w:val="18"/>
        </w:rPr>
        <w:t>FDA, Lifileucel/Amtagvi Accelerated Approval：https://www.fda.gov/drugs/resources-information-approved-drugs/fda-grants-accelerated-approval-lifileucel-unresectable-or-metastatic-melanoma</w:t>
      </w:r>
    </w:p>
    <w:p>
      <w:pPr>
        <w:pStyle w:val="ListBullet"/>
        <w:spacing w:before="0" w:after="80" w:line="252" w:lineRule="auto"/>
      </w:pPr>
      <w:r>
        <w:rPr>
          <w:rFonts w:ascii="SimSun" w:hAnsi="SimSun" w:eastAsia="SimSun"/>
          <w:b w:val="0"/>
          <w:color w:val="141A1F"/>
          <w:sz w:val="18"/>
        </w:rPr>
        <w:t>NCI, First Cancer TIL Therapy Gets FDA Approval for Advanced Melanoma：https://www.cancer.gov/news-events/cancer-currents-blog/2024/fda-amtagvi-til-therapy-melanoma</w:t>
      </w:r>
    </w:p>
    <w:p>
      <w:pPr>
        <w:pStyle w:val="ListBullet"/>
        <w:spacing w:before="0" w:after="80" w:line="252" w:lineRule="auto"/>
      </w:pPr>
      <w:r>
        <w:rPr>
          <w:rFonts w:ascii="SimSun" w:hAnsi="SimSun" w:eastAsia="SimSun"/>
          <w:b w:val="0"/>
          <w:color w:val="141A1F"/>
          <w:sz w:val="18"/>
        </w:rPr>
        <w:t>FDA, Boxed Warning for T-cell Malignancies after CAR-T：https://www.fda.gov/vaccines-blood-biologics/safety-availability-biologics/fda-requires-boxed-warning-t-cell-malignancies-following-treatment-bcma-directed-or-cd19-directed</w:t>
      </w:r>
    </w:p>
    <w:p>
      <w:pPr>
        <w:pStyle w:val="ListBullet"/>
        <w:spacing w:before="0" w:after="80" w:line="252" w:lineRule="auto"/>
      </w:pPr>
      <w:r>
        <w:rPr>
          <w:rFonts w:ascii="SimSun" w:hAnsi="SimSun" w:eastAsia="SimSun"/>
          <w:b w:val="0"/>
          <w:color w:val="141A1F"/>
          <w:sz w:val="18"/>
        </w:rPr>
        <w:t>NCI Visual Credit, TIL Therapy Infographic：https://www.cancer.gov/news-events/cancer-currents-blog/2024/fda-amtagvi-til-therapy-melanoma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SimHei" w:hAnsi="SimHei" w:eastAsia="Sim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SimHei" w:hAnsi="SimHei" w:eastAsia="Sim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SimHei" w:hAnsi="SimHei" w:eastAsia="Sim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jp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