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SimHei" w:hAnsi="SimHei" w:eastAsia="SimHei"/>
          <w:b/>
          <w:color w:val="12293A"/>
          <w:sz w:val="40"/>
        </w:rPr>
        <w:t>疾病的细胞治疗与免疫治疗：双人逐字稿</w:t>
      </w:r>
    </w:p>
    <w:p>
      <w:pPr>
        <w:spacing w:before="0" w:after="120" w:line="269" w:lineRule="auto"/>
      </w:pPr>
      <w:r>
        <w:rPr>
          <w:rFonts w:ascii="SimSun" w:hAnsi="SimSun" w:eastAsia="SimSun"/>
          <w:b w:val="0"/>
          <w:color w:val="141A1F"/>
          <w:sz w:val="22"/>
        </w:rPr>
        <w:t>说明：本稿对应优化后的 15 页 PPT，2 人展示，建议总时长 10–15 分钟。</w:t>
      </w:r>
    </w:p>
    <w:p>
      <w:pPr>
        <w:pStyle w:val="Heading1"/>
      </w:pPr>
      <w:r>
        <w:t>演讲者一</w:t>
      </w:r>
    </w:p>
    <w:p>
      <w:pPr>
        <w:pStyle w:val="Heading2"/>
      </w:pPr>
      <w:r>
        <w:t>第 1 页</w:t>
      </w:r>
    </w:p>
    <w:p>
      <w:pPr>
        <w:spacing w:before="0" w:after="120" w:line="269" w:lineRule="auto"/>
      </w:pPr>
      <w:r>
        <w:rPr>
          <w:rFonts w:ascii="SimSun" w:hAnsi="SimSun" w:eastAsia="SimSun"/>
          <w:b w:val="0"/>
          <w:color w:val="141A1F"/>
          <w:sz w:val="22"/>
        </w:rPr>
        <w:t>大家好，我们组选题是《疾病的细胞治疗与免疫治疗》。这不是单纯介绍某一种新药，而是讨论医学治疗逻辑的变化：从外部杀伤疾病，走向调动、改造和重塑人体免疫系统。我们的核心观点是：支持发展，但不神化；用证据、风险和可及性一起判断。</w:t>
      </w:r>
    </w:p>
    <w:p>
      <w:pPr>
        <w:pStyle w:val="Heading2"/>
      </w:pPr>
      <w:r>
        <w:t>第 2 页</w:t>
      </w:r>
    </w:p>
    <w:p>
      <w:pPr>
        <w:spacing w:before="0" w:after="120" w:line="269" w:lineRule="auto"/>
      </w:pPr>
      <w:r>
        <w:rPr>
          <w:rFonts w:ascii="SimSun" w:hAnsi="SimSun" w:eastAsia="SimSun"/>
          <w:b w:val="0"/>
          <w:color w:val="141A1F"/>
          <w:sz w:val="22"/>
        </w:rPr>
        <w:t>为什么说这是医学史问题？传统治疗更强调从外部处理病灶，比如手术切除、放疗破坏 DNA、化疗抑制快速增殖。细胞治疗和免疫治疗则把人体免疫系统本身变成治疗对象：解除抑制、改造细胞、放大免疫反应。这是治疗范式变化。</w:t>
      </w:r>
    </w:p>
    <w:p>
      <w:pPr>
        <w:pStyle w:val="Heading2"/>
      </w:pPr>
      <w:r>
        <w:t>第 3 页</w:t>
      </w:r>
    </w:p>
    <w:p>
      <w:pPr>
        <w:spacing w:before="0" w:after="120" w:line="269" w:lineRule="auto"/>
      </w:pPr>
      <w:r>
        <w:rPr>
          <w:rFonts w:ascii="SimSun" w:hAnsi="SimSun" w:eastAsia="SimSun"/>
          <w:b w:val="0"/>
          <w:color w:val="141A1F"/>
          <w:sz w:val="22"/>
        </w:rPr>
        <w:t>癌症负担解释了为什么需要新逻辑。American Cancer Society 的资料显示，2022 年全球约有 2000 万新发癌症病例，约 970 万人死于癌症；到 2050 年，新发病例预计约 3500 万。数字背后的意思是，传统治疗仍然重要，但长期负担、复发和耐药要求医学寻找新的治疗路径。</w:t>
      </w:r>
    </w:p>
    <w:p>
      <w:pPr>
        <w:pStyle w:val="Heading2"/>
      </w:pPr>
      <w:r>
        <w:t>第 4 页</w:t>
      </w:r>
    </w:p>
    <w:p>
      <w:pPr>
        <w:spacing w:before="0" w:after="120" w:line="269" w:lineRule="auto"/>
      </w:pPr>
      <w:r>
        <w:rPr>
          <w:rFonts w:ascii="SimSun" w:hAnsi="SimSun" w:eastAsia="SimSun"/>
          <w:b w:val="0"/>
          <w:color w:val="141A1F"/>
          <w:sz w:val="22"/>
        </w:rPr>
        <w:t>这页是历史时间轴。早期癌症治疗主要依赖手术、放疗，随后化疗发展为重要手段。1997 年 rituximab 代表单克隆抗体进入癌症治疗，治疗开始更强调靶点。2011 年 ipilimumab 代表检查点抑制剂，治疗对象转向免疫刹车。2017 年 CAR-T 把患者 T 细胞改造成治疗材料。2024 年 TIL 治疗获批，体现放大患者已有免疫反应的方向。</w:t>
      </w:r>
    </w:p>
    <w:p>
      <w:pPr>
        <w:pStyle w:val="Heading2"/>
      </w:pPr>
      <w:r>
        <w:t>第 5 页</w:t>
      </w:r>
    </w:p>
    <w:p>
      <w:pPr>
        <w:spacing w:before="0" w:after="120" w:line="269" w:lineRule="auto"/>
      </w:pPr>
      <w:r>
        <w:rPr>
          <w:rFonts w:ascii="SimSun" w:hAnsi="SimSun" w:eastAsia="SimSun"/>
          <w:b w:val="0"/>
          <w:color w:val="141A1F"/>
          <w:sz w:val="22"/>
        </w:rPr>
        <w:t>接下来用三条技术线理解这个领域。第一，检查点抑制剂是解除刹车，让 T 细胞重新攻击。第二，CAR-T 是改造细胞，给 T 细胞新的识别能力。第三，TIL 是放大反应，把已经进入肿瘤的 T 细胞扩增后再回输。后面每页都围绕“治疗思路改变”来讲。</w:t>
      </w:r>
    </w:p>
    <w:p>
      <w:pPr>
        <w:pStyle w:val="Heading2"/>
      </w:pPr>
      <w:r>
        <w:t>第 6 页</w:t>
      </w:r>
    </w:p>
    <w:p>
      <w:pPr>
        <w:spacing w:before="0" w:after="120" w:line="269" w:lineRule="auto"/>
      </w:pPr>
      <w:r>
        <w:rPr>
          <w:rFonts w:ascii="SimSun" w:hAnsi="SimSun" w:eastAsia="SimSun"/>
          <w:b w:val="0"/>
          <w:color w:val="141A1F"/>
          <w:sz w:val="22"/>
        </w:rPr>
        <w:t>检查点抑制剂的重点不是直接杀癌，而是解除免疫刹车。CTLA-4、PD-1、PD-L1 都是常见关键词。2018 年诺贝尔生理学或医学奖表彰了抑制免疫负调节治疗癌症的发现。Pembrolizumab 用于 TMB-H 实体瘤的 FDA 资料中，客观缓解率为 29%。它的历史意义在于，治疗从杀癌细胞转为恢复免疫系统攻击能力。</w:t>
      </w:r>
    </w:p>
    <w:p>
      <w:pPr>
        <w:pStyle w:val="Heading2"/>
      </w:pPr>
      <w:r>
        <w:t>第 7 页</w:t>
      </w:r>
    </w:p>
    <w:p>
      <w:pPr>
        <w:spacing w:before="0" w:after="120" w:line="269" w:lineRule="auto"/>
      </w:pPr>
      <w:r>
        <w:rPr>
          <w:rFonts w:ascii="SimSun" w:hAnsi="SimSun" w:eastAsia="SimSun"/>
          <w:b w:val="0"/>
          <w:color w:val="141A1F"/>
          <w:sz w:val="22"/>
        </w:rPr>
        <w:t>CAR-T 的变化更明显：患者自己的 T 细胞成为治疗材料。流程是采集、工程化、扩增、预处理、回输和监测。它被称为“活的药物”，因为治疗材料不是普通化学分子，而是被改造后能识别肿瘤的免疫细胞。这说明医学治疗对象和药物形态都发生了变化。</w:t>
      </w:r>
    </w:p>
    <w:p>
      <w:pPr>
        <w:pStyle w:val="Heading1"/>
      </w:pPr>
      <w:r>
        <w:t>演讲者二</w:t>
      </w:r>
    </w:p>
    <w:p>
      <w:pPr>
        <w:pStyle w:val="Heading2"/>
      </w:pPr>
      <w:r>
        <w:t>第 8 页</w:t>
      </w:r>
    </w:p>
    <w:p>
      <w:pPr>
        <w:spacing w:before="0" w:after="120" w:line="269" w:lineRule="auto"/>
      </w:pPr>
      <w:r>
        <w:rPr>
          <w:rFonts w:ascii="SimSun" w:hAnsi="SimSun" w:eastAsia="SimSun"/>
          <w:b w:val="0"/>
          <w:color w:val="141A1F"/>
          <w:sz w:val="22"/>
        </w:rPr>
        <w:t>CAR-T 不能只讲疗效，也要讲风险和条件。Kymriah 在复发或难治 B-ALL 儿童和青年患者中，3 个月总体缓解率为 83%。Aucatzyl 在成人复发或难治 B-ALL 中，65 名可评估患者里 27 名在 3 个月内达到完全缓解，比例为 42%。但 Aucatzyl 资料也显示 CRS 和 ICANS 风险，所以治疗中心的毒性处理能力很重要。</w:t>
      </w:r>
    </w:p>
    <w:p>
      <w:pPr>
        <w:pStyle w:val="Heading2"/>
      </w:pPr>
      <w:r>
        <w:t>第 9 页</w:t>
      </w:r>
    </w:p>
    <w:p>
      <w:pPr>
        <w:spacing w:before="0" w:after="120" w:line="269" w:lineRule="auto"/>
      </w:pPr>
      <w:r>
        <w:rPr>
          <w:rFonts w:ascii="SimSun" w:hAnsi="SimSun" w:eastAsia="SimSun"/>
          <w:b w:val="0"/>
          <w:color w:val="141A1F"/>
          <w:sz w:val="22"/>
        </w:rPr>
        <w:t>TIL 是另一条路线。它不是先给 T 细胞装上新的识别受体，而是从患者肿瘤组织中分离已经进入肿瘤的 T 细胞，体外扩增后回输。Amtagvi 是重要实例，FDA 资料显示推荐剂量患者客观缓解率为 31.5%。它对实体瘤治疗有意义，但作为加速批准，仍需要确认性试验验证临床获益。</w:t>
      </w:r>
    </w:p>
    <w:p>
      <w:pPr>
        <w:pStyle w:val="Heading2"/>
      </w:pPr>
      <w:r>
        <w:t>第 10 页</w:t>
      </w:r>
    </w:p>
    <w:p>
      <w:pPr>
        <w:spacing w:before="0" w:after="120" w:line="269" w:lineRule="auto"/>
      </w:pPr>
      <w:r>
        <w:rPr>
          <w:rFonts w:ascii="SimSun" w:hAnsi="SimSun" w:eastAsia="SimSun"/>
          <w:b w:val="0"/>
          <w:color w:val="141A1F"/>
          <w:sz w:val="22"/>
        </w:rPr>
        <w:t>证据页要注意一个边界：这些数字不能直接横比。Pembrolizumab、Kymriah、Aucatzyl、Amtagvi 的病种不同，患者条件不同，终点也不同。有的是 ORR，有的是总体缓解率，有的是 CR。因此这些数据说明真实证据已经存在，但不能用一个百分比给疗法排名。</w:t>
      </w:r>
    </w:p>
    <w:p>
      <w:pPr>
        <w:pStyle w:val="Heading2"/>
      </w:pPr>
      <w:r>
        <w:t>第 11 页</w:t>
      </w:r>
    </w:p>
    <w:p>
      <w:pPr>
        <w:spacing w:before="0" w:after="120" w:line="269" w:lineRule="auto"/>
      </w:pPr>
      <w:r>
        <w:rPr>
          <w:rFonts w:ascii="SimSun" w:hAnsi="SimSun" w:eastAsia="SimSun"/>
          <w:b w:val="0"/>
          <w:color w:val="141A1F"/>
          <w:sz w:val="22"/>
        </w:rPr>
        <w:t>细胞治疗还改变了临床路径。它不是简单开药，而是医疗系统工程：患者筛选、细胞采集或组织获取、实验室制造、质控运输、回输、毒性管理和长期随访。治疗效果不仅取决于技术本身，也取决于医院、实验室、运输和监管体系是否能配合。</w:t>
      </w:r>
    </w:p>
    <w:p>
      <w:pPr>
        <w:pStyle w:val="Heading2"/>
      </w:pPr>
      <w:r>
        <w:t>第 12 页</w:t>
      </w:r>
    </w:p>
    <w:p>
      <w:pPr>
        <w:spacing w:before="0" w:after="120" w:line="269" w:lineRule="auto"/>
      </w:pPr>
      <w:r>
        <w:rPr>
          <w:rFonts w:ascii="SimSun" w:hAnsi="SimSun" w:eastAsia="SimSun"/>
          <w:b w:val="0"/>
          <w:color w:val="141A1F"/>
          <w:sz w:val="22"/>
        </w:rPr>
        <w:t>为什么不能神化？因为疗效越强，越需要边界和监管。实体瘤仍有靶抗原、免疫抑制微环境和肿瘤异质性难题；急性毒性包括 CRS 和 ICANS；FDA 还要求相关 CAR-T 产品提示继发恶性肿瘤风险并进行长期监测。因此不能只讲成功案例。</w:t>
      </w:r>
    </w:p>
    <w:p>
      <w:pPr>
        <w:pStyle w:val="Heading2"/>
      </w:pPr>
      <w:r>
        <w:t>第 13 页</w:t>
      </w:r>
    </w:p>
    <w:p>
      <w:pPr>
        <w:spacing w:before="0" w:after="120" w:line="269" w:lineRule="auto"/>
      </w:pPr>
      <w:r>
        <w:rPr>
          <w:rFonts w:ascii="SimSun" w:hAnsi="SimSun" w:eastAsia="SimSun"/>
          <w:b w:val="0"/>
          <w:color w:val="141A1F"/>
          <w:sz w:val="22"/>
        </w:rPr>
        <w:t>伦理和可及性同样重要。NCI 报道公司宣布 lifileucel 单次治疗价格为 515,000 美元。这个数字说明高价是现实问题，但公平问题不只价格，还包括治疗中心限制、保险支付、跨区域转诊、长期风险告知和随访数据公开。技术突破不等于公共价值自动实现。</w:t>
      </w:r>
    </w:p>
    <w:p>
      <w:pPr>
        <w:pStyle w:val="Heading2"/>
      </w:pPr>
      <w:r>
        <w:t>第 14 页</w:t>
      </w:r>
    </w:p>
    <w:p>
      <w:pPr>
        <w:spacing w:before="0" w:after="120" w:line="269" w:lineRule="auto"/>
      </w:pPr>
      <w:r>
        <w:rPr>
          <w:rFonts w:ascii="SimSun" w:hAnsi="SimSun" w:eastAsia="SimSun"/>
          <w:b w:val="0"/>
          <w:color w:val="141A1F"/>
          <w:sz w:val="22"/>
        </w:rPr>
        <w:t>未来方向不是更神奇，而是更可控、更公平。更准，是用生物标志物筛选患者，减少无效治疗；更安全，是降低 CRS 和 ICANS 等毒性，强化长期登记；更可及，是缩短制造周期，改善支付和转诊体系。未来关键是规范、安全、公平地使用。</w:t>
      </w:r>
    </w:p>
    <w:p>
      <w:pPr>
        <w:pStyle w:val="Heading2"/>
      </w:pPr>
      <w:r>
        <w:t>第 15 页</w:t>
      </w:r>
    </w:p>
    <w:p>
      <w:pPr>
        <w:spacing w:before="0" w:after="120" w:line="269" w:lineRule="auto"/>
      </w:pPr>
      <w:r>
        <w:rPr>
          <w:rFonts w:ascii="SimSun" w:hAnsi="SimSun" w:eastAsia="SimSun"/>
          <w:b w:val="0"/>
          <w:color w:val="141A1F"/>
          <w:sz w:val="22"/>
        </w:rPr>
        <w:t>最后用三句话总结。第一，历史意义：细胞治疗与免疫治疗改变了医学对疾病的干预对象。第二，临床价值：它已经在部分血液肿瘤、TMB-H 实体瘤和特定黑色素瘤中显示真实证据。第三，审慎边界：适应证、毒性、长期风险、制造流程和费用可及性决定了它不能被神化。谢谢大家。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imHei" w:hAnsi="SimHei" w:eastAsia="Sim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imHei" w:hAnsi="SimHei" w:eastAsia="Sim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