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jc w:val="center"/>
      </w:pPr>
      <w:r>
        <w:rPr>
          <w:rFonts w:ascii="SimHei" w:hAnsi="SimHei" w:eastAsia="SimHei"/>
          <w:b/>
          <w:color w:val="132D40"/>
          <w:sz w:val="40"/>
        </w:rPr>
        <w:t>疾病的细胞治疗与免疫治疗：课程报告</w:t>
      </w:r>
    </w:p>
    <w:p>
      <w:pPr>
        <w:spacing w:before="0" w:after="280" w:line="240" w:lineRule="auto"/>
        <w:jc w:val="center"/>
      </w:pPr>
      <w:r>
        <w:rPr>
          <w:rFonts w:ascii="SimSun" w:hAnsi="SimSun" w:eastAsia="SimSun"/>
          <w:color w:val="606F7B"/>
          <w:sz w:val="22"/>
        </w:rPr>
        <w:t>从“杀死肿瘤”到“训练免疫”：医学治疗逻辑的转变</w:t>
      </w:r>
    </w:p>
    <w:p>
      <w:pPr>
        <w:pStyle w:val="Heading1"/>
      </w:pPr>
      <w:r>
        <w:t>摘要</w:t>
      </w:r>
    </w:p>
    <w:p>
      <w:pPr>
        <w:spacing w:before="0" w:after="120" w:line="264" w:lineRule="auto"/>
      </w:pPr>
      <w:r>
        <w:rPr>
          <w:rFonts w:ascii="SimSun" w:hAnsi="SimSun" w:eastAsia="SimSun"/>
          <w:color w:val="161C20"/>
          <w:sz w:val="22"/>
        </w:rPr>
        <w:t>本报告围绕“疾病的细胞治疗与免疫治疗”展开，说明其医学意义、发展线索、临床案例、风险限制和伦理问题。报告认为，这一方向的核心价值不只是增加治疗手段，而是改变治疗逻辑：从外部直接杀伤病灶，转向调动、重塑和工程化人体免疫系统。但这一方向仍然需要严格证据、长期随访、监管边界和公平可及。</w:t>
      </w:r>
    </w:p>
    <w:p>
      <w:pPr>
        <w:pStyle w:val="Heading1"/>
      </w:pPr>
      <w:r>
        <w:t>一、选题说明与核心观点</w:t>
      </w:r>
    </w:p>
    <w:p>
      <w:pPr>
        <w:spacing w:before="0" w:after="120" w:line="264" w:lineRule="auto"/>
      </w:pPr>
      <w:r>
        <w:rPr>
          <w:rFonts w:ascii="SimSun" w:hAnsi="SimSun" w:eastAsia="SimSun"/>
          <w:color w:val="161C20"/>
          <w:sz w:val="22"/>
        </w:rPr>
        <w:t>本组选题为“疾病的细胞治疗与免疫治疗”。根据课堂记录，图二中已经出现人口老龄化、食品安全、情绪与心理健康、人体实验和地中海贫血相关主题，因此本报告选择图一中未重复的“疾病的细胞治疗与免疫治疗”。</w:t>
      </w:r>
    </w:p>
    <w:p>
      <w:pPr>
        <w:spacing w:before="0" w:after="120" w:line="264" w:lineRule="auto"/>
      </w:pPr>
      <w:r>
        <w:rPr>
          <w:rFonts w:ascii="SimSun" w:hAnsi="SimSun" w:eastAsia="SimSun"/>
          <w:color w:val="161C20"/>
          <w:sz w:val="22"/>
        </w:rPr>
        <w:t>本报告的核心观点是：细胞治疗与免疫治疗的意义不只是出现了新的药物或新的治疗项目，而是把医学治疗逻辑从“外部直接杀伤病灶”推进到“调动、重塑或工程化人体防御系统”。它已经在部分血液肿瘤和特定实体瘤中显示出临床价值，但不能被神化；疗效、安全性、监管、可及性必须同时评价。</w:t>
      </w:r>
    </w:p>
    <w:p>
      <w:pPr>
        <w:pStyle w:val="Heading1"/>
      </w:pPr>
      <w:r>
        <w:t>二、疾病负担：为什么需要新的治疗逻辑</w:t>
      </w:r>
    </w:p>
    <w:p>
      <w:pPr>
        <w:spacing w:before="0" w:after="120" w:line="264" w:lineRule="auto"/>
      </w:pPr>
      <w:r>
        <w:rPr>
          <w:rFonts w:ascii="SimSun" w:hAnsi="SimSun" w:eastAsia="SimSun"/>
          <w:color w:val="161C20"/>
          <w:sz w:val="22"/>
        </w:rPr>
        <w:t>癌症负担是理解这一主题的重要背景。American Cancer Society 发布的 Global Cancer Statistics 2024 显示，2022 年全球约有 2000 万新发癌症病例、约 970 万死亡；到 2050 年，全球新发癌症病例预计约 3500 万。IARC GLOBOCAN 2022 世界事实表给出的数字为新发病例 19,976,499 例，死亡 9,743,832 例。</w:t>
      </w:r>
    </w:p>
    <w:p>
      <w:pPr>
        <w:spacing w:before="0" w:after="120" w:line="264" w:lineRule="auto"/>
      </w:pPr>
      <w:r>
        <w:rPr>
          <w:rFonts w:ascii="SimSun" w:hAnsi="SimSun" w:eastAsia="SimSun"/>
          <w:color w:val="161C20"/>
          <w:sz w:val="22"/>
        </w:rPr>
        <w:t>这些数字说明，癌症和其他难治疾病不是个别患者的偶发问题，而是长期影响医疗体系和公共卫生资源分配的重大问题。传统治疗仍然是基础，但复发、耐药、转移、晚期疾病和个体差异，使医学需要探索能够长期识别疾病、与患者生物系统互动的新治疗方式。</w:t>
      </w:r>
    </w:p>
    <w:p>
      <w:pPr>
        <w:pStyle w:val="Heading1"/>
      </w:pPr>
      <w:r>
        <w:t>三、概念区分：免疫治疗与细胞治疗</w:t>
      </w:r>
    </w:p>
    <w:p>
      <w:pPr>
        <w:spacing w:before="0" w:after="120" w:line="264" w:lineRule="auto"/>
      </w:pPr>
      <w:r>
        <w:rPr>
          <w:rFonts w:ascii="SimSun" w:hAnsi="SimSun" w:eastAsia="SimSun"/>
          <w:color w:val="161C20"/>
          <w:sz w:val="22"/>
        </w:rPr>
        <w:t>免疫治疗是指利用或调节免疫系统来治疗疾病。以癌症为例，NCI 将免疫治疗概括为帮助免疫系统对抗癌症的治疗方式，其类型包括免疫检查点抑制剂、T 细胞转移治疗、单克隆抗体、治疗性疫苗和免疫系统调节剂。</w:t>
      </w:r>
    </w:p>
    <w:p>
      <w:pPr>
        <w:spacing w:before="0" w:after="120" w:line="264" w:lineRule="auto"/>
      </w:pPr>
      <w:r>
        <w:rPr>
          <w:rFonts w:ascii="SimSun" w:hAnsi="SimSun" w:eastAsia="SimSun"/>
          <w:color w:val="161C20"/>
          <w:sz w:val="22"/>
        </w:rPr>
        <w:t>细胞治疗强调把活细胞作为治疗材料。以 CAR-T 为例，治疗流程通常包括采集患者 T 细胞、体外基因工程改造、扩增、再回输患者体内。NCI 介绍 CAR-T 时指出，这类治疗常需要 3 到 5 周制造周期。它与普通化学药物不同，治疗材料本身是被工程化的活细胞，因此也被称为“活的药物”。</w:t>
      </w:r>
    </w:p>
    <w:p>
      <w:pPr>
        <w:pStyle w:val="Heading1"/>
      </w:pPr>
      <w:r>
        <w:t>四、发展线索：从免疫学发现到临床治疗</w:t>
      </w:r>
    </w:p>
    <w:p>
      <w:pPr>
        <w:spacing w:before="0" w:after="120" w:line="264" w:lineRule="auto"/>
      </w:pPr>
      <w:r>
        <w:rPr>
          <w:rFonts w:ascii="SimSun" w:hAnsi="SimSun" w:eastAsia="SimSun"/>
          <w:color w:val="161C20"/>
          <w:sz w:val="22"/>
        </w:rPr>
        <w:t>免疫治疗的历史线索可以追溯到激活免疫系统对抗肿瘤的早期尝试，但真正形成现代突破，依赖免疫负调节机制、抗体工程、细胞培养、基因工程和临床试验体系的共同成熟。2018 年诺贝尔生理学或医学奖授予 James P. Allison 与 Tasuku Honjo，以表彰其发现通过抑制免疫负调节治疗癌症。</w:t>
      </w:r>
    </w:p>
    <w:p>
      <w:pPr>
        <w:spacing w:before="0" w:after="120" w:line="264" w:lineRule="auto"/>
      </w:pPr>
      <w:r>
        <w:rPr>
          <w:rFonts w:ascii="SimSun" w:hAnsi="SimSun" w:eastAsia="SimSun"/>
          <w:color w:val="161C20"/>
          <w:sz w:val="22"/>
        </w:rPr>
        <w:t>CAR-T 的临床化则体现了细胞工程的价值。2017 年，首个 CAR-T 疗法获批用于特定白血病患者。此后，多个 CAR-T 产品进入监管批准清单，治疗对象主要集中在特定血液系统肿瘤。2024 年，FDA 又加速批准 Amtagvi 用于特定不可切除或转移性黑色素瘤患者，说明细胞治疗正在从血液肿瘤继续向实体瘤方向推进。</w:t>
      </w:r>
    </w:p>
    <w:p>
      <w:pPr>
        <w:pStyle w:val="Heading1"/>
      </w:pPr>
      <w:r>
        <w:t>五、临床案例与数据</w:t>
      </w:r>
    </w:p>
    <w:p>
      <w:pPr>
        <w:spacing w:before="0" w:after="120" w:line="264" w:lineRule="auto"/>
      </w:pPr>
      <w:r>
        <w:rPr>
          <w:rFonts w:ascii="SimSun" w:hAnsi="SimSun" w:eastAsia="SimSun"/>
          <w:color w:val="161C20"/>
          <w:sz w:val="22"/>
        </w:rPr>
        <w:t>Aucatzyl 是一个 CAR-T 临床案例。FDA 资料显示，该疗法用于复发或难治 B 细胞前体急性淋巴细胞白血病，65 名患者中 27 名在 3 个月内达到完全缓解，比例为 42%。这一数据说明，在特定高风险患者群体中，工程化免疫细胞可以带来真实治疗反应。</w:t>
      </w:r>
    </w:p>
    <w:p>
      <w:pPr>
        <w:spacing w:before="0" w:after="120" w:line="264" w:lineRule="auto"/>
      </w:pPr>
      <w:r>
        <w:rPr>
          <w:rFonts w:ascii="SimSun" w:hAnsi="SimSun" w:eastAsia="SimSun"/>
          <w:color w:val="161C20"/>
          <w:sz w:val="22"/>
        </w:rPr>
        <w:t>Amtagvi 是 TIL 细胞治疗案例。FDA 资料显示，在推荐剂量人群中，客观缓解率为 31.5%，其中完全缓解 4.1%，部分缓解 27.4%。这一案例的重要意义在于，它针对的是特定晚期黑色素瘤患者，代表细胞治疗向实体瘤应用推进。</w:t>
      </w:r>
    </w:p>
    <w:p>
      <w:pPr>
        <w:spacing w:before="0" w:after="120" w:line="264" w:lineRule="auto"/>
      </w:pPr>
      <w:r>
        <w:rPr>
          <w:rFonts w:ascii="SimSun" w:hAnsi="SimSun" w:eastAsia="SimSun"/>
          <w:color w:val="161C20"/>
          <w:sz w:val="22"/>
        </w:rPr>
        <w:t>NCI 的 CAR-T 资料还提到，部分淋巴瘤 CAR-T 研究中出现了长期无癌证据生存。报告引用这些数据，不是为了制造“治愈神话”，而是说明细胞治疗和免疫治疗已经在严格限定的适应证中形成可观察的临床价值。</w:t>
      </w:r>
    </w:p>
    <w:p>
      <w:pPr>
        <w:pStyle w:val="Heading1"/>
      </w:pPr>
      <w:r>
        <w:t>六、风险、限制与监管要求</w:t>
      </w:r>
    </w:p>
    <w:p>
      <w:pPr>
        <w:spacing w:before="0" w:after="120" w:line="264" w:lineRule="auto"/>
      </w:pPr>
      <w:r>
        <w:rPr>
          <w:rFonts w:ascii="SimSun" w:hAnsi="SimSun" w:eastAsia="SimSun"/>
          <w:color w:val="161C20"/>
          <w:sz w:val="22"/>
        </w:rPr>
        <w:t>细胞治疗与免疫治疗的风险必须和疗效同时讨论。CAR-T 治疗中，细胞因子释放综合征和神经毒性是需要重点监测和处理的不良反应。FDA 在 2024 年要求部分 BCMA 或 CD19 靶向 CAR-T 产品加入 T 细胞恶性肿瘤风险的黑框警告，并提示终身监测继发性恶性肿瘤。</w:t>
      </w:r>
    </w:p>
    <w:p>
      <w:pPr>
        <w:spacing w:before="0" w:after="120" w:line="264" w:lineRule="auto"/>
      </w:pPr>
      <w:r>
        <w:rPr>
          <w:rFonts w:ascii="SimSun" w:hAnsi="SimSun" w:eastAsia="SimSun"/>
          <w:color w:val="161C20"/>
          <w:sz w:val="22"/>
        </w:rPr>
        <w:t>在适应证方面，血液肿瘤进展更快，实体瘤应用更困难。NCI 总结的障碍包括：实体瘤靶抗原选择困难，肿瘤微环境会抑制免疫细胞功能，肿瘤内部异质性较高。这些因素决定了细胞治疗不能被简单外推到所有癌症，更不能被包装为无条件有效。</w:t>
      </w:r>
    </w:p>
    <w:p>
      <w:pPr>
        <w:pStyle w:val="Heading1"/>
      </w:pPr>
      <w:r>
        <w:t>七、伦理、公平与我们的态度</w:t>
      </w:r>
    </w:p>
    <w:p>
      <w:pPr>
        <w:spacing w:before="0" w:after="120" w:line="264" w:lineRule="auto"/>
      </w:pPr>
      <w:r>
        <w:rPr>
          <w:rFonts w:ascii="SimSun" w:hAnsi="SimSun" w:eastAsia="SimSun"/>
          <w:color w:val="161C20"/>
          <w:sz w:val="22"/>
        </w:rPr>
        <w:t>本组态度是支持细胞治疗与免疫治疗在严格证据和规范监管下发展，同时反对将其神化。新技术的价值不仅取决于实验室突破，还取决于患者能否在合适时间、合适医疗机构、以可承受方式接受规范治疗。</w:t>
      </w:r>
    </w:p>
    <w:p>
      <w:pPr>
        <w:spacing w:before="0" w:after="120" w:line="264" w:lineRule="auto"/>
      </w:pPr>
      <w:r>
        <w:rPr>
          <w:rFonts w:ascii="SimSun" w:hAnsi="SimSun" w:eastAsia="SimSun"/>
          <w:color w:val="161C20"/>
          <w:sz w:val="22"/>
        </w:rPr>
        <w:t>因此，评价这类技术时至少要坚持三点：第一，尊重适应证边界，不把探索性治疗包装成保证有效；第二，公开疗效、不良反应和随访数据，不只讲成功案例；第三，推动规范治疗中心、医保支付和区域转诊能力建设，避免技术进步扩大医疗差距。</w:t>
      </w:r>
    </w:p>
    <w:p>
      <w:pPr>
        <w:pStyle w:val="Heading1"/>
      </w:pPr>
      <w:r>
        <w:t>八、结论</w:t>
      </w:r>
    </w:p>
    <w:p>
      <w:pPr>
        <w:spacing w:before="0" w:after="120" w:line="264" w:lineRule="auto"/>
      </w:pPr>
      <w:r>
        <w:rPr>
          <w:rFonts w:ascii="SimSun" w:hAnsi="SimSun" w:eastAsia="SimSun"/>
          <w:color w:val="161C20"/>
          <w:sz w:val="22"/>
        </w:rPr>
        <w:t>细胞治疗与免疫治疗的核心价值，是让医学从“外部打击疾病”走向“重塑人体防御系统”。它改变了部分难治疾病的治疗选择，也推动临床医学、基础免疫学、基因工程、药品监管和医疗资源配置之间形成更紧密的关系。</w:t>
      </w:r>
    </w:p>
    <w:p>
      <w:pPr>
        <w:spacing w:before="0" w:after="120" w:line="264" w:lineRule="auto"/>
      </w:pPr>
      <w:r>
        <w:rPr>
          <w:rFonts w:ascii="SimSun" w:hAnsi="SimSun" w:eastAsia="SimSun"/>
          <w:color w:val="161C20"/>
          <w:sz w:val="22"/>
        </w:rPr>
        <w:t>但这类治疗仍然受限于安全性、适应证、制造周期、费用压力和医疗资源。它不是万能疗法，也不是普通保健概念。更负责任的态度是：在证据充分处积极应用，在证据不足处保持审慎，在制度层面推动安全、规范和公平可及。</w:t>
      </w:r>
    </w:p>
    <w:p>
      <w:pPr>
        <w:pStyle w:val="Heading1"/>
      </w:pPr>
      <w:r>
        <w:t>重点名词解释</w:t>
      </w:r>
    </w:p>
    <w:tbl>
      <w:tblPr>
        <w:tblStyle w:val="TableGrid"/>
        <w:tblW w:type="auto" w:w="0"/>
        <w:jc w:val="center"/>
        <w:tblLook w:firstColumn="1" w:firstRow="1" w:lastColumn="0" w:lastRow="0" w:noHBand="0" w:noVBand="1" w:val="04A0"/>
      </w:tblPr>
      <w:tblGrid>
        <w:gridCol w:w="4680"/>
        <w:gridCol w:w="4680"/>
      </w:tblGrid>
      <w:tr>
        <w:tc>
          <w:tcPr>
            <w:tcW w:type="dxa" w:w="2160"/>
            <w:shd w:fill="F2F4F7"/>
            <w:vAlign w:val="center"/>
          </w:tcPr>
          <w:p>
            <w:pPr>
              <w:spacing w:before="0" w:after="0" w:line="252" w:lineRule="auto"/>
              <w:jc w:val="left"/>
            </w:pPr>
            <w:r/>
            <w:r>
              <w:rPr>
                <w:rFonts w:ascii="SimSun" w:hAnsi="SimSun" w:eastAsia="SimSun"/>
                <w:b/>
                <w:color w:val="161C20"/>
                <w:sz w:val="19"/>
              </w:rPr>
              <w:t>名词</w:t>
            </w:r>
          </w:p>
        </w:tc>
        <w:tc>
          <w:tcPr>
            <w:tcW w:type="dxa" w:w="7200"/>
            <w:shd w:fill="F2F4F7"/>
            <w:vAlign w:val="center"/>
          </w:tcPr>
          <w:p>
            <w:pPr>
              <w:spacing w:before="0" w:after="0" w:line="252" w:lineRule="auto"/>
              <w:jc w:val="left"/>
            </w:pPr>
            <w:r/>
            <w:r>
              <w:rPr>
                <w:rFonts w:ascii="SimSun" w:hAnsi="SimSun" w:eastAsia="SimSun"/>
                <w:b/>
                <w:color w:val="161C20"/>
                <w:sz w:val="19"/>
              </w:rPr>
              <w:t>解释</w:t>
            </w:r>
          </w:p>
        </w:tc>
      </w:tr>
      <w:tr>
        <w:tc>
          <w:tcPr>
            <w:tcW w:type="dxa" w:w="4680"/>
            <w:vAlign w:val="center"/>
          </w:tcPr>
          <w:p>
            <w:pPr>
              <w:spacing w:before="0" w:after="0" w:line="252" w:lineRule="auto"/>
              <w:jc w:val="left"/>
            </w:pPr>
            <w:r/>
            <w:r>
              <w:rPr>
                <w:rFonts w:ascii="SimSun" w:hAnsi="SimSun" w:eastAsia="SimSun"/>
                <w:b/>
                <w:color w:val="161C20"/>
                <w:sz w:val="19"/>
              </w:rPr>
              <w:t>免疫治疗</w:t>
            </w:r>
          </w:p>
        </w:tc>
        <w:tc>
          <w:tcPr>
            <w:tcW w:type="dxa" w:w="4680"/>
            <w:vAlign w:val="center"/>
          </w:tcPr>
          <w:p>
            <w:pPr>
              <w:spacing w:before="0" w:after="0" w:line="252" w:lineRule="auto"/>
              <w:jc w:val="left"/>
            </w:pPr>
            <w:r/>
            <w:r>
              <w:rPr>
                <w:rFonts w:ascii="SimSun" w:hAnsi="SimSun" w:eastAsia="SimSun"/>
                <w:b w:val="0"/>
                <w:color w:val="161C20"/>
                <w:sz w:val="19"/>
              </w:rPr>
              <w:t>通过增强、恢复或调节免疫系统功能来治疗疾病的方式。</w:t>
            </w:r>
          </w:p>
        </w:tc>
      </w:tr>
      <w:tr>
        <w:tc>
          <w:tcPr>
            <w:tcW w:type="dxa" w:w="4680"/>
            <w:vAlign w:val="center"/>
          </w:tcPr>
          <w:p>
            <w:pPr>
              <w:spacing w:before="0" w:after="0" w:line="252" w:lineRule="auto"/>
              <w:jc w:val="left"/>
            </w:pPr>
            <w:r/>
            <w:r>
              <w:rPr>
                <w:rFonts w:ascii="SimSun" w:hAnsi="SimSun" w:eastAsia="SimSun"/>
                <w:b/>
                <w:color w:val="161C20"/>
                <w:sz w:val="19"/>
              </w:rPr>
              <w:t>细胞治疗</w:t>
            </w:r>
          </w:p>
        </w:tc>
        <w:tc>
          <w:tcPr>
            <w:tcW w:type="dxa" w:w="4680"/>
            <w:vAlign w:val="center"/>
          </w:tcPr>
          <w:p>
            <w:pPr>
              <w:spacing w:before="0" w:after="0" w:line="252" w:lineRule="auto"/>
              <w:jc w:val="left"/>
            </w:pPr>
            <w:r/>
            <w:r>
              <w:rPr>
                <w:rFonts w:ascii="SimSun" w:hAnsi="SimSun" w:eastAsia="SimSun"/>
                <w:b w:val="0"/>
                <w:color w:val="161C20"/>
                <w:sz w:val="19"/>
              </w:rPr>
              <w:t>以活细胞作为治疗材料，通过扩增、筛选、改造或回输发挥治疗作用。</w:t>
            </w:r>
          </w:p>
        </w:tc>
      </w:tr>
      <w:tr>
        <w:tc>
          <w:tcPr>
            <w:tcW w:type="dxa" w:w="4680"/>
            <w:vAlign w:val="center"/>
          </w:tcPr>
          <w:p>
            <w:pPr>
              <w:spacing w:before="0" w:after="0" w:line="252" w:lineRule="auto"/>
              <w:jc w:val="left"/>
            </w:pPr>
            <w:r/>
            <w:r>
              <w:rPr>
                <w:rFonts w:ascii="SimSun" w:hAnsi="SimSun" w:eastAsia="SimSun"/>
                <w:b/>
                <w:color w:val="161C20"/>
                <w:sz w:val="19"/>
              </w:rPr>
              <w:t>CAR-T</w:t>
            </w:r>
          </w:p>
        </w:tc>
        <w:tc>
          <w:tcPr>
            <w:tcW w:type="dxa" w:w="4680"/>
            <w:vAlign w:val="center"/>
          </w:tcPr>
          <w:p>
            <w:pPr>
              <w:spacing w:before="0" w:after="0" w:line="252" w:lineRule="auto"/>
              <w:jc w:val="left"/>
            </w:pPr>
            <w:r/>
            <w:r>
              <w:rPr>
                <w:rFonts w:ascii="SimSun" w:hAnsi="SimSun" w:eastAsia="SimSun"/>
                <w:b w:val="0"/>
                <w:color w:val="161C20"/>
                <w:sz w:val="19"/>
              </w:rPr>
              <w:t>嵌合抗原受体 T 细胞治疗，把 T 细胞工程化，使其识别特定抗原。</w:t>
            </w:r>
          </w:p>
        </w:tc>
      </w:tr>
      <w:tr>
        <w:tc>
          <w:tcPr>
            <w:tcW w:type="dxa" w:w="4680"/>
            <w:vAlign w:val="center"/>
          </w:tcPr>
          <w:p>
            <w:pPr>
              <w:spacing w:before="0" w:after="0" w:line="252" w:lineRule="auto"/>
              <w:jc w:val="left"/>
            </w:pPr>
            <w:r/>
            <w:r>
              <w:rPr>
                <w:rFonts w:ascii="SimSun" w:hAnsi="SimSun" w:eastAsia="SimSun"/>
                <w:b/>
                <w:color w:val="161C20"/>
                <w:sz w:val="19"/>
              </w:rPr>
              <w:t>TIL</w:t>
            </w:r>
          </w:p>
        </w:tc>
        <w:tc>
          <w:tcPr>
            <w:tcW w:type="dxa" w:w="4680"/>
            <w:vAlign w:val="center"/>
          </w:tcPr>
          <w:p>
            <w:pPr>
              <w:spacing w:before="0" w:after="0" w:line="252" w:lineRule="auto"/>
              <w:jc w:val="left"/>
            </w:pPr>
            <w:r/>
            <w:r>
              <w:rPr>
                <w:rFonts w:ascii="SimSun" w:hAnsi="SimSun" w:eastAsia="SimSun"/>
                <w:b w:val="0"/>
                <w:color w:val="161C20"/>
                <w:sz w:val="19"/>
              </w:rPr>
              <w:t>肿瘤浸润淋巴细胞治疗，从肿瘤组织中获得免疫细胞，经体外扩增后回输。</w:t>
            </w:r>
          </w:p>
        </w:tc>
      </w:tr>
      <w:tr>
        <w:tc>
          <w:tcPr>
            <w:tcW w:type="dxa" w:w="4680"/>
            <w:vAlign w:val="center"/>
          </w:tcPr>
          <w:p>
            <w:pPr>
              <w:spacing w:before="0" w:after="0" w:line="252" w:lineRule="auto"/>
              <w:jc w:val="left"/>
            </w:pPr>
            <w:r/>
            <w:r>
              <w:rPr>
                <w:rFonts w:ascii="SimSun" w:hAnsi="SimSun" w:eastAsia="SimSun"/>
                <w:b/>
                <w:color w:val="161C20"/>
                <w:sz w:val="19"/>
              </w:rPr>
              <w:t>免疫检查点</w:t>
            </w:r>
          </w:p>
        </w:tc>
        <w:tc>
          <w:tcPr>
            <w:tcW w:type="dxa" w:w="4680"/>
            <w:vAlign w:val="center"/>
          </w:tcPr>
          <w:p>
            <w:pPr>
              <w:spacing w:before="0" w:after="0" w:line="252" w:lineRule="auto"/>
              <w:jc w:val="left"/>
            </w:pPr>
            <w:r/>
            <w:r>
              <w:rPr>
                <w:rFonts w:ascii="SimSun" w:hAnsi="SimSun" w:eastAsia="SimSun"/>
                <w:b w:val="0"/>
                <w:color w:val="161C20"/>
                <w:sz w:val="19"/>
              </w:rPr>
              <w:t>免疫系统的负调节机制，例如 CTLA-4、PD-1、PD-L1。</w:t>
            </w:r>
          </w:p>
        </w:tc>
      </w:tr>
      <w:tr>
        <w:tc>
          <w:tcPr>
            <w:tcW w:type="dxa" w:w="4680"/>
            <w:vAlign w:val="center"/>
          </w:tcPr>
          <w:p>
            <w:pPr>
              <w:spacing w:before="0" w:after="0" w:line="252" w:lineRule="auto"/>
              <w:jc w:val="left"/>
            </w:pPr>
            <w:r/>
            <w:r>
              <w:rPr>
                <w:rFonts w:ascii="SimSun" w:hAnsi="SimSun" w:eastAsia="SimSun"/>
                <w:b/>
                <w:color w:val="161C20"/>
                <w:sz w:val="19"/>
              </w:rPr>
              <w:t>CRS</w:t>
            </w:r>
          </w:p>
        </w:tc>
        <w:tc>
          <w:tcPr>
            <w:tcW w:type="dxa" w:w="4680"/>
            <w:vAlign w:val="center"/>
          </w:tcPr>
          <w:p>
            <w:pPr>
              <w:spacing w:before="0" w:after="0" w:line="252" w:lineRule="auto"/>
              <w:jc w:val="left"/>
            </w:pPr>
            <w:r/>
            <w:r>
              <w:rPr>
                <w:rFonts w:ascii="SimSun" w:hAnsi="SimSun" w:eastAsia="SimSun"/>
                <w:b w:val="0"/>
                <w:color w:val="161C20"/>
                <w:sz w:val="19"/>
              </w:rPr>
              <w:t>细胞因子释放综合征，细胞治疗中可能出现的全身炎症反应。</w:t>
            </w:r>
          </w:p>
        </w:tc>
      </w:tr>
      <w:tr>
        <w:tc>
          <w:tcPr>
            <w:tcW w:type="dxa" w:w="4680"/>
            <w:vAlign w:val="center"/>
          </w:tcPr>
          <w:p>
            <w:pPr>
              <w:spacing w:before="0" w:after="0" w:line="252" w:lineRule="auto"/>
              <w:jc w:val="left"/>
            </w:pPr>
            <w:r/>
            <w:r>
              <w:rPr>
                <w:rFonts w:ascii="SimSun" w:hAnsi="SimSun" w:eastAsia="SimSun"/>
                <w:b/>
                <w:color w:val="161C20"/>
                <w:sz w:val="19"/>
              </w:rPr>
              <w:t>ICANS</w:t>
            </w:r>
          </w:p>
        </w:tc>
        <w:tc>
          <w:tcPr>
            <w:tcW w:type="dxa" w:w="4680"/>
            <w:vAlign w:val="center"/>
          </w:tcPr>
          <w:p>
            <w:pPr>
              <w:spacing w:before="0" w:after="0" w:line="252" w:lineRule="auto"/>
              <w:jc w:val="left"/>
            </w:pPr>
            <w:r/>
            <w:r>
              <w:rPr>
                <w:rFonts w:ascii="SimSun" w:hAnsi="SimSun" w:eastAsia="SimSun"/>
                <w:b w:val="0"/>
                <w:color w:val="161C20"/>
                <w:sz w:val="19"/>
              </w:rPr>
              <w:t>免疫效应细胞相关神经毒性综合征，表现可包括意识、语言或神经功能异常。</w:t>
            </w:r>
          </w:p>
        </w:tc>
      </w:tr>
    </w:tbl>
    <w:p>
      <w:pPr>
        <w:pStyle w:val="Heading1"/>
      </w:pPr>
      <w:r>
        <w:t>参考资料</w:t>
      </w:r>
    </w:p>
    <w:p>
      <w:pPr>
        <w:pStyle w:val="ListNumber"/>
        <w:spacing w:before="0" w:after="80" w:line="252" w:lineRule="auto"/>
      </w:pPr>
      <w:r>
        <w:rPr>
          <w:rFonts w:ascii="SimSun" w:hAnsi="SimSun" w:eastAsia="SimSun"/>
          <w:color w:val="161C20"/>
          <w:sz w:val="19"/>
        </w:rPr>
        <w:t>American Cancer Society, Global Cancer Statistics 2024：https://pressroom.cancer.org/GlobalCancerStatistics2024</w:t>
      </w:r>
    </w:p>
    <w:p>
      <w:pPr>
        <w:pStyle w:val="ListNumber"/>
        <w:spacing w:before="0" w:after="80" w:line="252" w:lineRule="auto"/>
      </w:pPr>
      <w:r>
        <w:rPr>
          <w:rFonts w:ascii="SimSun" w:hAnsi="SimSun" w:eastAsia="SimSun"/>
          <w:color w:val="161C20"/>
          <w:sz w:val="19"/>
        </w:rPr>
        <w:t>IARC, GLOBOCAN 2022 World Fact Sheet：https://gco.iarc.who.int/media/globocan/factsheets/populations/900-world-fact-sheet.pdf</w:t>
      </w:r>
    </w:p>
    <w:p>
      <w:pPr>
        <w:pStyle w:val="ListNumber"/>
        <w:spacing w:before="0" w:after="80" w:line="252" w:lineRule="auto"/>
      </w:pPr>
      <w:r>
        <w:rPr>
          <w:rFonts w:ascii="SimSun" w:hAnsi="SimSun" w:eastAsia="SimSun"/>
          <w:color w:val="161C20"/>
          <w:sz w:val="19"/>
        </w:rPr>
        <w:t>National Cancer Institute, Immunotherapy to Treat Cancer：https://www.cancer.gov/about-cancer/treatment/types/immunotherapy</w:t>
      </w:r>
    </w:p>
    <w:p>
      <w:pPr>
        <w:pStyle w:val="ListNumber"/>
        <w:spacing w:before="0" w:after="80" w:line="252" w:lineRule="auto"/>
      </w:pPr>
      <w:r>
        <w:rPr>
          <w:rFonts w:ascii="SimSun" w:hAnsi="SimSun" w:eastAsia="SimSun"/>
          <w:color w:val="161C20"/>
          <w:sz w:val="19"/>
        </w:rPr>
        <w:t>National Cancer Institute, CAR T Cells: Engineering Patients' Immune Cells to Treat Their Cancers：https://www.cancer.gov/about-cancer/treatment/research/car-t-cells</w:t>
      </w:r>
    </w:p>
    <w:p>
      <w:pPr>
        <w:pStyle w:val="ListNumber"/>
        <w:spacing w:before="0" w:after="80" w:line="252" w:lineRule="auto"/>
      </w:pPr>
      <w:r>
        <w:rPr>
          <w:rFonts w:ascii="SimSun" w:hAnsi="SimSun" w:eastAsia="SimSun"/>
          <w:color w:val="161C20"/>
          <w:sz w:val="19"/>
        </w:rPr>
        <w:t>FDA, FDA Approves First Cellular Therapy to Treat Patients with Unresectable or Metastatic Melanoma：https://www.fda.gov/news-events/press-announcements/fda-approves-first-cellular-therapy-treat-patients-unresectable-or-metastatic-melanoma</w:t>
      </w:r>
    </w:p>
    <w:p>
      <w:pPr>
        <w:pStyle w:val="ListNumber"/>
        <w:spacing w:before="0" w:after="80" w:line="252" w:lineRule="auto"/>
      </w:pPr>
      <w:r>
        <w:rPr>
          <w:rFonts w:ascii="SimSun" w:hAnsi="SimSun" w:eastAsia="SimSun"/>
          <w:color w:val="161C20"/>
          <w:sz w:val="19"/>
        </w:rPr>
        <w:t>FDA, Aucatzyl Approval：https://www.fda.gov/drugs/resources-information-approved-drugs/fda-approves-obecabtagene-autoleucel-adults-relapsed-or-refractory-b-cell-precursor-acute</w:t>
      </w:r>
    </w:p>
    <w:p>
      <w:pPr>
        <w:pStyle w:val="ListNumber"/>
        <w:spacing w:before="0" w:after="80" w:line="252" w:lineRule="auto"/>
      </w:pPr>
      <w:r>
        <w:rPr>
          <w:rFonts w:ascii="SimSun" w:hAnsi="SimSun" w:eastAsia="SimSun"/>
          <w:color w:val="161C20"/>
          <w:sz w:val="19"/>
        </w:rPr>
        <w:t>FDA, Boxed Warning for T-cell Malignancies Following BCMA-directed or CD19-directed CAR T Cell Immunotherapies：https://www.fda.gov/vaccines-blood-biologics/safety-availability-biologics/fda-requires-boxed-warning-t-cell-malignancies-following-treatment-bcma-directed-or-cd19-directed</w:t>
      </w:r>
    </w:p>
    <w:p>
      <w:pPr>
        <w:pStyle w:val="ListNumber"/>
        <w:spacing w:before="0" w:after="80" w:line="252" w:lineRule="auto"/>
      </w:pPr>
      <w:r>
        <w:rPr>
          <w:rFonts w:ascii="SimSun" w:hAnsi="SimSun" w:eastAsia="SimSun"/>
          <w:color w:val="161C20"/>
          <w:sz w:val="19"/>
        </w:rPr>
        <w:t>The Nobel Prize in Physiology or Medicine 2018, Press Release：https://www.nobelprize.org/prizes/medicine/2018/press-release/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SimHei" w:hAnsi="SimHei" w:eastAsia="Sim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SimHei" w:hAnsi="SimHei" w:eastAsia="Sim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SimHei" w:hAnsi="SimHei" w:eastAsia="Sim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