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2F441" w14:textId="77777777" w:rsidR="00A32BDF" w:rsidRDefault="00000000">
      <w:pPr>
        <w:pStyle w:val="ReportTitle"/>
        <w:jc w:val="center"/>
      </w:pPr>
      <w:r>
        <w:t>RAPPORT DÉTAILLÉ</w:t>
      </w:r>
    </w:p>
    <w:p w14:paraId="6EE12D97" w14:textId="77777777" w:rsidR="00A32BDF" w:rsidRDefault="00000000">
      <w:pPr>
        <w:pStyle w:val="ReportTitle"/>
        <w:jc w:val="center"/>
      </w:pPr>
      <w:r>
        <w:t>IT verte / Numérique responsable, GreenOps, recherche opérationnelle</w:t>
      </w:r>
      <w:r>
        <w:br/>
        <w:t>et architecture solution dans les services de paiement bancaires</w:t>
      </w:r>
    </w:p>
    <w:p w14:paraId="4F9EDABD" w14:textId="77777777" w:rsidR="00A32BDF" w:rsidRDefault="00000000">
      <w:pPr>
        <w:pStyle w:val="ReportSubtitle"/>
        <w:jc w:val="center"/>
      </w:pPr>
      <w:r>
        <w:t>France et Europe — état des lieux, réglementation, flux de paiement, leviers GreenOps, mesures et feuille de route DSI</w:t>
      </w:r>
    </w:p>
    <w:p w14:paraId="1C3A5942" w14:textId="77777777" w:rsidR="00A32BDF" w:rsidRDefault="00000000">
      <w:pPr>
        <w:pStyle w:val="ReportSubtitle"/>
        <w:jc w:val="center"/>
      </w:pPr>
      <w:r>
        <w:t>Version intégrale documentée — 14 avril 2026</w:t>
      </w:r>
    </w:p>
    <w:tbl>
      <w:tblPr>
        <w:tblW w:w="0" w:type="auto"/>
        <w:jc w:val="center"/>
        <w:tblLayout w:type="fixed"/>
        <w:tblLook w:val="04A0" w:firstRow="1" w:lastRow="0" w:firstColumn="1" w:lastColumn="0" w:noHBand="0" w:noVBand="1"/>
      </w:tblPr>
      <w:tblGrid>
        <w:gridCol w:w="7937"/>
      </w:tblGrid>
      <w:tr w:rsidR="00A32BDF" w14:paraId="71AC4B06" w14:textId="77777777">
        <w:trPr>
          <w:jc w:val="center"/>
        </w:trPr>
        <w:tc>
          <w:tcPr>
            <w:tcW w:w="7937" w:type="dxa"/>
            <w:shd w:val="clear" w:color="auto" w:fill="1F4E79"/>
          </w:tcPr>
          <w:p w14:paraId="057EEF3B" w14:textId="77777777" w:rsidR="00A32BDF" w:rsidRDefault="00A32BDF">
            <w:pPr>
              <w:spacing w:after="0"/>
            </w:pPr>
          </w:p>
        </w:tc>
      </w:tr>
    </w:tbl>
    <w:p w14:paraId="79C725E7" w14:textId="77777777" w:rsidR="00A32BDF" w:rsidRDefault="00A32BDF"/>
    <w:tbl>
      <w:tblPr>
        <w:tblW w:w="0" w:type="auto"/>
        <w:jc w:val="center"/>
        <w:tblLayout w:type="fixed"/>
        <w:tblLook w:val="04A0" w:firstRow="1" w:lastRow="0" w:firstColumn="1" w:lastColumn="0" w:noHBand="0" w:noVBand="1"/>
      </w:tblPr>
      <w:tblGrid>
        <w:gridCol w:w="8901"/>
      </w:tblGrid>
      <w:tr w:rsidR="00A32BDF" w14:paraId="5C792F95" w14:textId="77777777">
        <w:trPr>
          <w:jc w:val="center"/>
        </w:trPr>
        <w:tc>
          <w:tcPr>
            <w:tcW w:w="8901" w:type="dxa"/>
            <w:shd w:val="clear" w:color="auto" w:fill="F3F6FA"/>
            <w:tcMar>
              <w:top w:w="110" w:type="dxa"/>
              <w:left w:w="140" w:type="dxa"/>
              <w:bottom w:w="110" w:type="dxa"/>
              <w:right w:w="140" w:type="dxa"/>
            </w:tcMar>
            <w:vAlign w:val="center"/>
          </w:tcPr>
          <w:p w14:paraId="68061184" w14:textId="77777777" w:rsidR="00A32BDF" w:rsidRDefault="00000000">
            <w:r>
              <w:rPr>
                <w:b/>
              </w:rPr>
              <w:t xml:space="preserve">Finalité du document. </w:t>
            </w:r>
            <w:r>
              <w:t>Fournir à une DSI banque/paiements un cadre complet pour relier numérique responsable, performance des flux, architecture cible, recherche opérationnelle et pilotage GreenOps. Le rapport insiste sur les services de paiement – SCT, SCT Inst, SDD, Verification of Payee, fraude et liquidité – car ils concentrent les contraintes les plus fortes de temps réel, de résilience et de coût d’exploitation.</w:t>
            </w:r>
          </w:p>
          <w:p w14:paraId="4BDAE5DF" w14:textId="77777777" w:rsidR="00A32BDF" w:rsidRDefault="00000000">
            <w:r>
              <w:rPr>
                <w:b/>
              </w:rPr>
              <w:t xml:space="preserve">Positionnement. </w:t>
            </w:r>
            <w:r>
              <w:t>Le document ne traite pas le Green IT comme un thème RSE isolé. Il le rattache explicitement à l’architecture solution, au pilotage des environnements, au capacity planning, à l’orchestration des flux, aux choix de modèles IA et aux décisions d’exploitation.</w:t>
            </w:r>
          </w:p>
          <w:p w14:paraId="27B16B96" w14:textId="77777777" w:rsidR="00A32BDF" w:rsidRDefault="00000000">
            <w:pPr>
              <w:pStyle w:val="SmallCapsNote"/>
            </w:pPr>
            <w:r>
              <w:t>Base de sources : publications officielles et quasi-officielles, rapports institutionnels, documentation éditeurs et référentiels techniques publics, état public connu au 14 avril 2026.</w:t>
            </w:r>
          </w:p>
        </w:tc>
      </w:tr>
    </w:tbl>
    <w:p w14:paraId="30235C05" w14:textId="77777777" w:rsidR="00A32BDF" w:rsidRDefault="00A32BDF"/>
    <w:p w14:paraId="578DED14" w14:textId="77777777" w:rsidR="00A32BDF" w:rsidRDefault="00000000">
      <w:pPr>
        <w:pStyle w:val="SmallCapsNote"/>
        <w:jc w:val="center"/>
      </w:pPr>
      <w:r>
        <w:t>Document préparé pour un usage DSI / architecture / transformation / paiements</w:t>
      </w:r>
    </w:p>
    <w:p w14:paraId="7ACCFA1E" w14:textId="77777777" w:rsidR="00A32BDF" w:rsidRDefault="00000000">
      <w:r>
        <w:br w:type="page"/>
      </w:r>
    </w:p>
    <w:p w14:paraId="24A459A5" w14:textId="77777777" w:rsidR="00A32BDF" w:rsidRDefault="00000000">
      <w:pPr>
        <w:pStyle w:val="Titre1"/>
      </w:pPr>
      <w:r>
        <w:lastRenderedPageBreak/>
        <w:t>Sommaire</w:t>
      </w:r>
    </w:p>
    <w:p w14:paraId="500FD573" w14:textId="77777777" w:rsidR="00A32BDF" w:rsidRDefault="00000000">
      <w:pPr>
        <w:ind w:left="283"/>
      </w:pPr>
      <w:r>
        <w:t>1. Résumé exécutif</w:t>
      </w:r>
    </w:p>
    <w:p w14:paraId="0A7C73B3" w14:textId="77777777" w:rsidR="00A32BDF" w:rsidRDefault="00000000">
      <w:pPr>
        <w:ind w:left="283"/>
      </w:pPr>
      <w:r>
        <w:t>2. Objet du rapport, périmètre et hypothèses</w:t>
      </w:r>
    </w:p>
    <w:p w14:paraId="636F421D" w14:textId="77777777" w:rsidR="00A32BDF" w:rsidRDefault="00000000">
      <w:pPr>
        <w:ind w:left="283"/>
      </w:pPr>
      <w:r>
        <w:t>3. Cadre stratégique, réglementaire et marché</w:t>
      </w:r>
    </w:p>
    <w:p w14:paraId="3E483331" w14:textId="77777777" w:rsidR="00A32BDF" w:rsidRDefault="00000000">
      <w:pPr>
        <w:ind w:left="283"/>
      </w:pPr>
      <w:r>
        <w:t>4. État des lieux France / Europe et exemples documentés</w:t>
      </w:r>
    </w:p>
    <w:p w14:paraId="72E0C4C7" w14:textId="77777777" w:rsidR="00A32BDF" w:rsidRDefault="00000000">
      <w:pPr>
        <w:ind w:left="283"/>
      </w:pPr>
      <w:r>
        <w:t>5. Pourquoi les services de paiement sont le cas d’usage prioritaire</w:t>
      </w:r>
    </w:p>
    <w:p w14:paraId="33E9E84D" w14:textId="77777777" w:rsidR="00A32BDF" w:rsidRDefault="00000000">
      <w:pPr>
        <w:ind w:left="283"/>
      </w:pPr>
      <w:r>
        <w:t>6. Architecture solution cible d’un service de paiement durable</w:t>
      </w:r>
    </w:p>
    <w:p w14:paraId="2F819BEE" w14:textId="77777777" w:rsidR="00A32BDF" w:rsidRDefault="00000000">
      <w:pPr>
        <w:ind w:left="283"/>
      </w:pPr>
      <w:r>
        <w:t>7. Recherche opérationnelle appliquée aux paiements</w:t>
      </w:r>
    </w:p>
    <w:p w14:paraId="1A47B7A7" w14:textId="77777777" w:rsidR="00A32BDF" w:rsidRDefault="00000000">
      <w:pPr>
        <w:ind w:left="283"/>
      </w:pPr>
      <w:r>
        <w:t>8. GreenOps : principes, mesures, unités et outils</w:t>
      </w:r>
    </w:p>
    <w:p w14:paraId="4C5D525E" w14:textId="77777777" w:rsidR="00A32BDF" w:rsidRDefault="00000000">
      <w:pPr>
        <w:ind w:left="283"/>
      </w:pPr>
      <w:r>
        <w:t>9. Mesures concrètes et quick wins</w:t>
      </w:r>
    </w:p>
    <w:p w14:paraId="332DABAD" w14:textId="77777777" w:rsidR="00A32BDF" w:rsidRDefault="00000000">
      <w:pPr>
        <w:ind w:left="283"/>
      </w:pPr>
      <w:r>
        <w:t>10. Feuille de route DSI sur 12 à 18 mois</w:t>
      </w:r>
    </w:p>
    <w:p w14:paraId="7A1FE948" w14:textId="77777777" w:rsidR="00A32BDF" w:rsidRDefault="00000000">
      <w:pPr>
        <w:ind w:left="283"/>
      </w:pPr>
      <w:r>
        <w:t>11. Conclusion</w:t>
      </w:r>
    </w:p>
    <w:p w14:paraId="35455C67" w14:textId="77777777" w:rsidR="00A32BDF" w:rsidRDefault="00000000">
      <w:pPr>
        <w:ind w:left="283"/>
      </w:pPr>
      <w:r>
        <w:t>Annexe A. Pack KPI et tableau de pilotage</w:t>
      </w:r>
    </w:p>
    <w:p w14:paraId="40F6AEF7" w14:textId="77777777" w:rsidR="00A32BDF" w:rsidRDefault="00000000">
      <w:pPr>
        <w:ind w:left="283"/>
      </w:pPr>
      <w:r>
        <w:t>Annexe B. Glossaire opérationnel</w:t>
      </w:r>
    </w:p>
    <w:p w14:paraId="52A30183" w14:textId="77777777" w:rsidR="00A32BDF" w:rsidRDefault="00000000">
      <w:pPr>
        <w:ind w:left="283"/>
      </w:pPr>
      <w:r>
        <w:t>Annexe C. Bibliographie et sources</w:t>
      </w:r>
    </w:p>
    <w:tbl>
      <w:tblPr>
        <w:tblW w:w="0" w:type="auto"/>
        <w:jc w:val="center"/>
        <w:tblLook w:val="04A0" w:firstRow="1" w:lastRow="0" w:firstColumn="1" w:lastColumn="0" w:noHBand="0" w:noVBand="1"/>
      </w:tblPr>
      <w:tblGrid>
        <w:gridCol w:w="9859"/>
      </w:tblGrid>
      <w:tr w:rsidR="00A32BDF" w14:paraId="40F604DB" w14:textId="77777777">
        <w:trPr>
          <w:jc w:val="center"/>
        </w:trPr>
        <w:tc>
          <w:tcPr>
            <w:tcW w:w="9859" w:type="dxa"/>
            <w:shd w:val="clear" w:color="auto" w:fill="FFF8E8"/>
            <w:tcMar>
              <w:top w:w="100" w:type="dxa"/>
              <w:left w:w="130" w:type="dxa"/>
              <w:bottom w:w="100" w:type="dxa"/>
              <w:right w:w="130" w:type="dxa"/>
            </w:tcMar>
          </w:tcPr>
          <w:p w14:paraId="527DD8E1" w14:textId="77777777" w:rsidR="00A32BDF" w:rsidRDefault="00000000">
            <w:r>
              <w:rPr>
                <w:b/>
              </w:rPr>
              <w:t xml:space="preserve">Avertissement méthodologique. </w:t>
            </w:r>
            <w:r>
              <w:t>Les chiffres cités dans ce rapport sont volontairement limités aux données publiquement vérifiables. Lorsque des objectifs de réduction ou de maturité ne sont pas documentés de façon homogène par les acteurs, ils sont présentés comme cibles internes plausibles ou comme ordres de grandeur d’ingénierie, et non comme résultats publics uniformément démontrés.</w:t>
            </w:r>
          </w:p>
        </w:tc>
      </w:tr>
    </w:tbl>
    <w:p w14:paraId="39252C96" w14:textId="77777777" w:rsidR="00A32BDF" w:rsidRDefault="00000000">
      <w:r>
        <w:br w:type="page"/>
      </w:r>
    </w:p>
    <w:p w14:paraId="622C46F7" w14:textId="77777777" w:rsidR="00A32BDF" w:rsidRDefault="00000000">
      <w:pPr>
        <w:pStyle w:val="Titre1"/>
      </w:pPr>
      <w:r>
        <w:lastRenderedPageBreak/>
        <w:t>1. Résumé exécutif</w:t>
      </w:r>
    </w:p>
    <w:p w14:paraId="57AB4EB7" w14:textId="77777777" w:rsidR="00A32BDF" w:rsidRDefault="00000000">
      <w:r>
        <w:t>En 2026, le numérique responsable n’est plus un sujet périphérique pour les banques et assurances. Il devient un sujet de pilotage DSI, d’architecture, de coût cloud, de résilience, de conformité et de transformation des services critiques. Le secteur paiements est l’un des meilleurs terrains d’application de cette convergence, car il cumule exigences de temps réel, lutte contre la fraude, contraintes de liquidité, disponibilité 24/7 et pression réglementaire.[8][9][10][11][12][13]</w:t>
      </w:r>
    </w:p>
    <w:p w14:paraId="61F7AC47" w14:textId="77777777" w:rsidR="00A32BDF" w:rsidRDefault="00000000">
      <w:r>
        <w:t>Le Benchmark Green IT 2025 reste l’un des référentiels les plus utiles pour cadrer la matérialité du sujet côté SI. Il évalue le SI de gestion à 445 kgCO2e par utilisateur et par an en moyenne, avec une répartition des impacts concentrée autour du cloud/data center, des réseaux et de l’environnement utilisateur. Le benchmark précise aussi que le cloud reste partiellement sous-estimé, notamment pour certaines composantes SaaS.[1]</w:t>
      </w:r>
    </w:p>
    <w:p w14:paraId="75990BE9" w14:textId="77777777" w:rsidR="00A32BDF" w:rsidRDefault="00000000">
      <w:r>
        <w:t>Côté établissements, plusieurs acteurs français disposent désormais d’éléments publics tangibles : AXA documente un programme de Digital Sustainability, un approvisionnement en électricité 100 % renouvelable depuis 2025 et un objectif de 66 % de fournisseurs General Expenses et IT dotés d’un plan de transition crédible à l’horizon 2030 ; CA-GIP est labellisé Numérique Responsable niveau 2 et GreenPact est présenté comme une comptabilité environnementale du SI ; BNP Paribas déclare plus de 800 cas d’usage IA en production.[2][3][4][5][6][7]</w:t>
      </w:r>
    </w:p>
    <w:p w14:paraId="0B6AEDF9" w14:textId="77777777" w:rsidR="00A32BDF" w:rsidRDefault="00000000">
      <w:r>
        <w:t>Dans les paiements, la pression 2025-2026 est particulièrement structurante : Instant Payments Regulation, Verification of Payee, montée de l’instantané, stratégie paiements 2025-2030 en France, stratégie paiements de l’Eurosystème du 31 mars 2026 et renforcement de la résilience numérique avec DORA. La trajectoire cible impose de repenser les chaînes de paiement comme des systèmes de flux sous contraintes, optimisés à la fois pour le délai, le coût, la fraude, la liquidité, l’énergie et les émissions.[11][12][13][14][15][16]</w:t>
      </w:r>
    </w:p>
    <w:p w14:paraId="2038148B" w14:textId="77777777" w:rsidR="00A32BDF" w:rsidRDefault="00000000">
      <w:r>
        <w:t>Le rapport défend cinq idées directrices. Premièrement, le Green IT des paiements doit être piloté au niveau de l’architecture et de l’exploitation, pas seulement au niveau d’une politique RSE. Deuxièmement, l’unité de pilotage pertinente n’est pas uniquement la tonne de CO2e annuelle, mais aussi l’intensité par service rendu : gCO2e par SCT Inst, Wh par 1 000 transactions, gCO2e par scoring fraude. Troisièmement, la recherche opérationnelle constitue un levier central pour optimiser files d’attente, routage, liquidité et capacité. Quatrièmement, l’IA ne doit être intégrée qu’avec une logique de proportionnalité et d’IA frugale. Cinquièmement, une démarche GreenOps mature doit unifier métriques techniques, énergie, émissions et unités métier.[17][18][19][20][21][22][23][24][25][26][27][28][29]</w:t>
      </w:r>
    </w:p>
    <w:tbl>
      <w:tblPr>
        <w:tblW w:w="0" w:type="auto"/>
        <w:jc w:val="center"/>
        <w:tblLayout w:type="fixed"/>
        <w:tblLook w:val="04A0" w:firstRow="1" w:lastRow="0" w:firstColumn="1" w:lastColumn="0" w:noHBand="0" w:noVBand="1"/>
      </w:tblPr>
      <w:tblGrid>
        <w:gridCol w:w="3286"/>
        <w:gridCol w:w="3286"/>
        <w:gridCol w:w="3286"/>
      </w:tblGrid>
      <w:tr w:rsidR="00A32BDF" w14:paraId="18C9DD7E" w14:textId="77777777">
        <w:trPr>
          <w:tblHeader/>
          <w:jc w:val="center"/>
        </w:trPr>
        <w:tc>
          <w:tcPr>
            <w:tcW w:w="2835" w:type="dxa"/>
            <w:shd w:val="clear" w:color="auto" w:fill="D9EAF7"/>
            <w:tcMar>
              <w:top w:w="80" w:type="dxa"/>
              <w:left w:w="100" w:type="dxa"/>
              <w:bottom w:w="80" w:type="dxa"/>
              <w:right w:w="100" w:type="dxa"/>
            </w:tcMar>
            <w:vAlign w:val="center"/>
          </w:tcPr>
          <w:p w14:paraId="2278DCFC" w14:textId="77777777" w:rsidR="00A32BDF" w:rsidRDefault="00000000">
            <w:pPr>
              <w:pStyle w:val="TableText"/>
              <w:jc w:val="center"/>
            </w:pPr>
            <w:r>
              <w:rPr>
                <w:b/>
              </w:rPr>
              <w:t>Décision d’architecture</w:t>
            </w:r>
          </w:p>
        </w:tc>
        <w:tc>
          <w:tcPr>
            <w:tcW w:w="3118" w:type="dxa"/>
            <w:shd w:val="clear" w:color="auto" w:fill="D9EAF7"/>
            <w:tcMar>
              <w:top w:w="80" w:type="dxa"/>
              <w:left w:w="100" w:type="dxa"/>
              <w:bottom w:w="80" w:type="dxa"/>
              <w:right w:w="100" w:type="dxa"/>
            </w:tcMar>
            <w:vAlign w:val="center"/>
          </w:tcPr>
          <w:p w14:paraId="11C263C6" w14:textId="77777777" w:rsidR="00A32BDF" w:rsidRDefault="00000000">
            <w:pPr>
              <w:pStyle w:val="TableText"/>
              <w:jc w:val="center"/>
            </w:pPr>
            <w:r>
              <w:rPr>
                <w:b/>
              </w:rPr>
              <w:t>Effet opérationnel</w:t>
            </w:r>
          </w:p>
        </w:tc>
        <w:tc>
          <w:tcPr>
            <w:tcW w:w="3118" w:type="dxa"/>
            <w:shd w:val="clear" w:color="auto" w:fill="D9EAF7"/>
            <w:tcMar>
              <w:top w:w="80" w:type="dxa"/>
              <w:left w:w="100" w:type="dxa"/>
              <w:bottom w:w="80" w:type="dxa"/>
              <w:right w:w="100" w:type="dxa"/>
            </w:tcMar>
            <w:vAlign w:val="center"/>
          </w:tcPr>
          <w:p w14:paraId="697A6D8E" w14:textId="77777777" w:rsidR="00A32BDF" w:rsidRDefault="00000000">
            <w:pPr>
              <w:pStyle w:val="TableText"/>
              <w:jc w:val="center"/>
            </w:pPr>
            <w:r>
              <w:rPr>
                <w:b/>
              </w:rPr>
              <w:t>Effet GreenOps</w:t>
            </w:r>
          </w:p>
        </w:tc>
      </w:tr>
      <w:tr w:rsidR="00A32BDF" w14:paraId="61311560" w14:textId="77777777">
        <w:trPr>
          <w:jc w:val="center"/>
        </w:trPr>
        <w:tc>
          <w:tcPr>
            <w:tcW w:w="3286" w:type="dxa"/>
            <w:tcMar>
              <w:top w:w="90" w:type="dxa"/>
              <w:left w:w="100" w:type="dxa"/>
              <w:bottom w:w="90" w:type="dxa"/>
              <w:right w:w="100" w:type="dxa"/>
            </w:tcMar>
            <w:vAlign w:val="center"/>
          </w:tcPr>
          <w:p w14:paraId="1342FCBF" w14:textId="77777777" w:rsidR="00A32BDF" w:rsidRDefault="00000000">
            <w:pPr>
              <w:pStyle w:val="TableText"/>
            </w:pPr>
            <w:r>
              <w:t>Réduire le chemin synchrone des paiements instantanés</w:t>
            </w:r>
          </w:p>
        </w:tc>
        <w:tc>
          <w:tcPr>
            <w:tcW w:w="3286" w:type="dxa"/>
            <w:tcMar>
              <w:top w:w="90" w:type="dxa"/>
              <w:left w:w="100" w:type="dxa"/>
              <w:bottom w:w="90" w:type="dxa"/>
              <w:right w:w="100" w:type="dxa"/>
            </w:tcMar>
            <w:vAlign w:val="center"/>
          </w:tcPr>
          <w:p w14:paraId="0BE6FA4A" w14:textId="77777777" w:rsidR="00A32BDF" w:rsidRDefault="00000000">
            <w:pPr>
              <w:pStyle w:val="TableText"/>
            </w:pPr>
            <w:r>
              <w:t>Moins de latence, moins de timeouts, moins de points de panne</w:t>
            </w:r>
          </w:p>
        </w:tc>
        <w:tc>
          <w:tcPr>
            <w:tcW w:w="3286" w:type="dxa"/>
            <w:tcMar>
              <w:top w:w="90" w:type="dxa"/>
              <w:left w:w="100" w:type="dxa"/>
              <w:bottom w:w="90" w:type="dxa"/>
              <w:right w:w="100" w:type="dxa"/>
            </w:tcMar>
            <w:vAlign w:val="center"/>
          </w:tcPr>
          <w:p w14:paraId="371CA6A0" w14:textId="77777777" w:rsidR="00A32BDF" w:rsidRDefault="00000000">
            <w:pPr>
              <w:pStyle w:val="TableText"/>
            </w:pPr>
            <w:r>
              <w:t>Moins de compute gaspillé, moins de retries et meilleure intensité carbone par transaction</w:t>
            </w:r>
          </w:p>
        </w:tc>
      </w:tr>
    </w:tbl>
    <w:p w14:paraId="330DE821" w14:textId="77777777" w:rsidR="00A32BDF" w:rsidRDefault="00000000">
      <w:pPr>
        <w:pStyle w:val="Titre1"/>
      </w:pPr>
      <w:r>
        <w:t>2. Objet du rapport, périmètre et hypothèses</w:t>
      </w:r>
    </w:p>
    <w:p w14:paraId="378F152D" w14:textId="77777777" w:rsidR="00A32BDF" w:rsidRDefault="00000000">
      <w:r>
        <w:t>Ce document a quatre objectifs. Le premier est de situer l’IT verte et le numérique responsable dans le contexte spécifique des banques, assurances et services de paiement en France et en Europe. Le deuxième est de proposer une lecture d’architecture solution : quels choix de conception réduisent réellement la consommation d’infrastructure, la verbosité des flux, les reprises inutiles et les coûts d’exploitation. Le troisième est de mobiliser la recherche opérationnelle comme discipline d’optimisation des flux de paiement. Le quatrième est de fournir un cadre GreenOps concret : unités, méthodes de mesure, outils, KPI et feuille de route.</w:t>
      </w:r>
    </w:p>
    <w:p w14:paraId="072C3B5D" w14:textId="77777777" w:rsidR="00A32BDF" w:rsidRDefault="00000000">
      <w:r>
        <w:lastRenderedPageBreak/>
        <w:t>Le périmètre couvre principalement les paiements scripturaux et assimilés : virement SEPA classique, virement instantané, prélèvement, Verification of Payee, dispositifs de lutte contre la fraude et pilotage de la liquidité. Le rapport prend des exemples de banques et d’assureurs français pour illustrer la maturité Green IT, mais l’axe métier détaillé se concentre sur les services de paiement bancaires.</w:t>
      </w:r>
    </w:p>
    <w:p w14:paraId="46EE145C" w14:textId="77777777" w:rsidR="00A32BDF" w:rsidRDefault="00000000">
      <w:r>
        <w:t>Le rapport distingue volontairement trois niveaux. Le niveau groupe concerne les engagements ESG, le reporting, les plans de transition et la stratégie environnementale. Le niveau DSI concerne le SI, le cloud, les data centers, les réseaux, l’IA et les outils de mesure. Le niveau service critique concerne les paiements eux-mêmes : architecture, routage, fraude, résilience, liquidité, orchestration et observabilité. Cette séparation évite de mélanger l’empreinte globale d’un groupe bancaire – dominée par d’autres enjeux tels que les émissions financées – avec l’empreinte propre du numérique et du SI.[8][10][27]</w:t>
      </w:r>
    </w:p>
    <w:p w14:paraId="368FE264" w14:textId="77777777" w:rsidR="00A32BDF" w:rsidRDefault="00000000">
      <w:pPr>
        <w:pStyle w:val="SectionLead"/>
      </w:pPr>
      <w:r>
        <w:t>Hypothèse de travail : le meilleur design pour un service de paiement est celui qui améliore simultanément le taux STP, la latence, la résilience, la maîtrise de la fraude, le coût de run et l’intensité carbone par transaction.</w:t>
      </w:r>
    </w:p>
    <w:p w14:paraId="48ECEF6B" w14:textId="77777777" w:rsidR="00A32BDF" w:rsidRDefault="00000000">
      <w:pPr>
        <w:pStyle w:val="Titre1"/>
      </w:pPr>
      <w:r>
        <w:t>3. Cadre stratégique, réglementaire et marché</w:t>
      </w:r>
    </w:p>
    <w:p w14:paraId="44A9B496" w14:textId="77777777" w:rsidR="00A32BDF" w:rsidRDefault="00000000">
      <w:pPr>
        <w:pStyle w:val="Titre2"/>
      </w:pPr>
      <w:r>
        <w:t>3.1 Numérique responsable : la base de lecture DSI</w:t>
      </w:r>
    </w:p>
    <w:p w14:paraId="3D81BABB" w14:textId="77777777" w:rsidR="00A32BDF" w:rsidRDefault="00000000">
      <w:r>
        <w:t>Le numérique responsable en entreprise ne se limite pas à l’écoconception des interfaces. Le RGESN 2024 rappelle une approche large couvrant la stratégie, l’architecture, le backend, l’hébergement et l’algorithmie. Dans un contexte bancaire, cela signifie que les choix de design, d’allocation de capacité, de rétention de données, de cycle de vie des environnements, de placement cloud et de modèles IA sont tous des sujets Green IT.[28]</w:t>
      </w:r>
    </w:p>
    <w:p w14:paraId="34E5626A" w14:textId="77777777" w:rsidR="00A32BDF" w:rsidRDefault="00000000">
      <w:r>
        <w:t>L’ADEME rappelle que 60 % de l’empreinte carbone du numérique provient de la phase de fabrication. Pour une DSI, cela justifie deux axes simultanés : d’une part mieux exploiter l’infrastructure active et réduire le gaspillage opérationnel ; d’autre part prolonger la durée de vie du matériel, limiter les renouvellements, standardiser et réemployer autant que possible.[27]</w:t>
      </w:r>
    </w:p>
    <w:p w14:paraId="5EFD451D" w14:textId="77777777" w:rsidR="00A32BDF" w:rsidRDefault="00000000">
      <w:pPr>
        <w:pStyle w:val="Titre2"/>
      </w:pPr>
      <w:r>
        <w:t>3.2 Réglementation et exigences 2025-2026</w:t>
      </w:r>
    </w:p>
    <w:p w14:paraId="355143C0" w14:textId="77777777" w:rsidR="00A32BDF" w:rsidRDefault="00000000">
      <w:r>
        <w:t>Le cadre réglementaire 2026 doit être présenté avec précision. La simplification Omnibus I a restreint le périmètre de la CSRD en relevant les seuils à plus de 1 000 salariés et plus de 450 millions d’euros de chiffre d’affaires net annuel. Cela change la manière de présenter la maturité ESG et le calendrier de reporting par rapport au cadre initial.[8]</w:t>
      </w:r>
    </w:p>
    <w:p w14:paraId="09A0EAE7" w14:textId="77777777" w:rsidR="00A32BDF" w:rsidRDefault="00000000">
      <w:r>
        <w:t>Pour les data centers, la refonte de la directive efficacité énergétique a introduit une obligation de reporting public pour les sites au-delà de 500 kW, puis le règlement délégué 2024/1364 a harmonisé les éléments de reporting et lancé la première phase d’un schéma européen d’évaluation.[9]</w:t>
      </w:r>
    </w:p>
    <w:p w14:paraId="7D6064B3" w14:textId="77777777" w:rsidR="00A32BDF" w:rsidRDefault="00000000">
      <w:r>
        <w:t>Pour les banques, les guidelines EBA sur la gestion des risques ESG sont applicables à compter du 11 janvier 2026. Elles exigent l’identification, la mesure, la gestion et le suivi des risques ESG, y compris dans le cadre des plans de transition. Pour une DSI, cela renforce la nécessité de rendre le sujet mesurable et auditable.[10]</w:t>
      </w:r>
    </w:p>
    <w:p w14:paraId="76041D7C" w14:textId="77777777" w:rsidR="00A32BDF" w:rsidRDefault="00000000">
      <w:r>
        <w:t>Dans les paiements, l’Instant Payments Regulation impose une mise à niveau progressive mais désormais bien engagée : réception des paiements instantanés, envoi, égalité des frais et Verification of Payee selon un calendrier échelonné ; pour les établissements de la zone euro, plusieurs obligations clés s’appliquent depuis le 9 janvier 2025 et le 9 octobre 2025.[11]</w:t>
      </w:r>
    </w:p>
    <w:p w14:paraId="16EC24FF" w14:textId="77777777" w:rsidR="00A32BDF" w:rsidRDefault="00000000">
      <w:r>
        <w:t xml:space="preserve">Le 31 mars 2026, l’Eurosystème a publié une stratégie paiements globale couvrant retail, business-to-business, wholesale et cross-border. Cette stratégie met en avant la résilience, l’innovation, la compétitivité et l’intégration. </w:t>
      </w:r>
      <w:r>
        <w:lastRenderedPageBreak/>
        <w:t>En France, la stratégie nationale 2025-2030 des moyens de paiement vise explicitement des paiements plus inclusifs, durables et souverains.[12][13]</w:t>
      </w:r>
    </w:p>
    <w:p w14:paraId="7C54035B" w14:textId="77777777" w:rsidR="00A32BDF" w:rsidRDefault="00000000">
      <w:pPr>
        <w:pStyle w:val="Titre2"/>
      </w:pPr>
      <w:r>
        <w:t>3.3 Marché et dynamique des usages</w:t>
      </w:r>
    </w:p>
    <w:p w14:paraId="3E11A728" w14:textId="77777777" w:rsidR="00A32BDF" w:rsidRDefault="00000000">
      <w:r>
        <w:t>Au premier semestre 2025, la zone euro a enregistré 77,7 milliards de paiements scripturaux, en hausse de 7,7 % sur un an. Les cartes représentent 57 % du volume, les virements 22 %, les prélèvements 14 % et la monnaie électronique 6 %. Ces ordres de grandeur confirment que l’industrialisation des paiements reste un sujet majeur de plateforme et d’architecture.[14]</w:t>
      </w:r>
    </w:p>
    <w:p w14:paraId="46466EFD" w14:textId="77777777" w:rsidR="00A32BDF" w:rsidRDefault="00000000">
      <w:r>
        <w:t>En France, les virements instantanés ont représenté 10 % du volume des virements émis en 2024, en dessous de la moyenne de la zone euro à 11 %, mais dans une dynamique de forte croissance. La Verification of Payee et la banalisation de l’instantané vont mécaniquement pousser les banques à revoir leurs architectures de décision, d’orchestration et de contrôle.[15][11]</w:t>
      </w:r>
    </w:p>
    <w:p w14:paraId="171CC85D" w14:textId="77777777" w:rsidR="00A32BDF" w:rsidRDefault="00000000">
      <w:r>
        <w:t>La fraude reste un déterminant majeur. Le rapport conjoint EBA-ECB publié en décembre 2025 fait état de pertes 2024 de 2,2 milliards d’euros sur les virements et 1,329 milliard d’euros sur les paiements par carte émise dans l’EEE. Côté France, l’Observatoire de la sécurité des moyens de paiement maintient le total annuel de fraude en dessous de 1,2 milliard d’euros, tout en soulignant l’adaptation rapide des fraudeurs.[16]</w:t>
      </w:r>
    </w:p>
    <w:p w14:paraId="463F5334" w14:textId="77777777" w:rsidR="00A32BDF" w:rsidRDefault="00000000">
      <w:pPr>
        <w:pStyle w:val="Titre1"/>
      </w:pPr>
      <w:r>
        <w:t>4. État des lieux France / Europe et exemples documentés</w:t>
      </w:r>
    </w:p>
    <w:p w14:paraId="0667CD4F" w14:textId="77777777" w:rsidR="00A32BDF" w:rsidRDefault="00000000">
      <w:r>
        <w:t>La France bénéficie d’un contexte particulièrement favorable au numérique responsable : loi REEN, RGESN, écosystème Cigref / INR / ADEME, et un mix électrique national particulièrement bas carbone. L’IEA rappelle que la France dispose d’un mix électrique très bas carbone grâce à son parc nucléaire ; RTE indique qu’en 2025 les émissions directes de la production électrique française ont atteint un plus bas historique de 10,9 MtCO2e.[34][33]</w:t>
      </w:r>
    </w:p>
    <w:p w14:paraId="573BF3E3" w14:textId="77777777" w:rsidR="00A32BDF" w:rsidRDefault="00000000">
      <w:r>
        <w:t>Il faut néanmoins rester prudent dans les comparaisons européennes. Le bon message n’est pas que “les acteurs français sont les meilleurs partout”, mais qu’ils disposent d’un environnement de gouvernance, de référentiels publics et de conditions énergétiques particulièrement structurants pour industrialiser un Green IT plus mature.</w:t>
      </w:r>
    </w:p>
    <w:p w14:paraId="32084167" w14:textId="77777777" w:rsidR="00A32BDF" w:rsidRDefault="00000000">
      <w:pPr>
        <w:pStyle w:val="Titre2"/>
      </w:pPr>
      <w:r>
        <w:t>4.1 AXA</w:t>
      </w:r>
    </w:p>
    <w:p w14:paraId="01C1E284" w14:textId="77777777" w:rsidR="00A32BDF" w:rsidRDefault="00000000">
      <w:r>
        <w:t>AXA constitue un cas documenté intéressant du côté assurance. Le groupe indique depuis 2025 un approvisionnement à 100 % de sa consommation électrique à partir de sources renouvelables, avec des VPPA signés pour couvrir data centers et bâtiments en Europe. AXA documente également un programme de Digital Sustainability et un objectif de 66 % de fournisseurs General Expenses et IT engagés dans un plan de transition crédible d’ici 2030 ; un document d’assemblée générale indique qu’en septembre 2024, 48 % des dépenses GenEx et IT correspondaient déjà à des fournisseurs engagés.[2][3]</w:t>
      </w:r>
    </w:p>
    <w:p w14:paraId="061B8A1E" w14:textId="77777777" w:rsidR="00A32BDF" w:rsidRDefault="00000000">
      <w:pPr>
        <w:pStyle w:val="Titre2"/>
      </w:pPr>
      <w:r>
        <w:t>4.2 Crédit Agricole / CA-GIP</w:t>
      </w:r>
    </w:p>
    <w:p w14:paraId="698E6229" w14:textId="77777777" w:rsidR="00A32BDF" w:rsidRDefault="00000000">
      <w:r>
        <w:t>CA-GIP est le cas français le plus utile pour relier Green IT et pilotage opérationnel du SI. L’entité a obtenu en juillet 2024 le label Numérique Responsable niveau 2. Le rapport intégré de Crédit Agricole décrit GreenPact comme une comptabilité environnementale mise en place pour piloter la transformation bas carbone des systèmes d’information du Groupe en couplant sobriété, éco-efficience, bonnes pratiques et gestion de fin de vie. Le Cigref décrit GreenPact comme un SI de comptabilité environnementale conçu par CA-GIP.[4][5][6]</w:t>
      </w:r>
    </w:p>
    <w:p w14:paraId="1658B7BF" w14:textId="77777777" w:rsidR="00A32BDF" w:rsidRDefault="00000000">
      <w:pPr>
        <w:pStyle w:val="Titre2"/>
      </w:pPr>
      <w:r>
        <w:lastRenderedPageBreak/>
        <w:t>4.3 BNP Paribas</w:t>
      </w:r>
    </w:p>
    <w:p w14:paraId="648DE46A" w14:textId="77777777" w:rsidR="00A32BDF" w:rsidRDefault="00000000">
      <w:r>
        <w:t>BNP Paribas apporte surtout un signal fort sur la gouvernance de la donnée et de l’IA. Le groupe déclare que ses experts ont déjà mis en production plus de 800 cas d’usage IA. Pour une lecture Green IT, cela ne prouve pas à lui seul une baisse chiffrée d’empreinte IT, mais cela prouve que la gouvernance IA, la qualité de la donnée et les enjeux de rationalisation des traitements ne sont plus marginaux dans une banque de premier plan.[7]</w:t>
      </w:r>
    </w:p>
    <w:p w14:paraId="3280A208" w14:textId="77777777" w:rsidR="00A32BDF" w:rsidRDefault="00000000">
      <w:pPr>
        <w:pStyle w:val="Titre2"/>
      </w:pPr>
      <w:r>
        <w:t>4.4 Ce qu’il faut en retenir pour une DSI paiements</w:t>
      </w:r>
    </w:p>
    <w:p w14:paraId="0BD4D97D" w14:textId="77777777" w:rsidR="00A32BDF" w:rsidRDefault="00000000">
      <w:r>
        <w:t>Les établissements les plus avancés publient aujourd’hui surtout des dispositifs : gouvernance, labels, comptabilité environnementale, objectifs fournisseurs, programmes de Digital Sustainability, stratégies IA et outillage. En revanche, les pourcentages de réduction strictement comparables sur l’empreinte du SI ne sont pas toujours publiés de façon homogène. Une DSI paiements doit donc bâtir son propre système de mesure et de normalisation, plutôt que d’attendre un benchmark public parfaitement homogène.</w:t>
      </w:r>
    </w:p>
    <w:p w14:paraId="7FA835F2" w14:textId="77777777" w:rsidR="00A32BDF" w:rsidRDefault="00000000">
      <w:pPr>
        <w:pStyle w:val="Titre1"/>
      </w:pPr>
      <w:r>
        <w:t>5. Pourquoi les services de paiement sont le cas d’usage prioritaire</w:t>
      </w:r>
    </w:p>
    <w:p w14:paraId="732A8530" w14:textId="77777777" w:rsidR="00A32BDF" w:rsidRDefault="00000000">
      <w:r>
        <w:t>Les paiements sont un cas d’usage prioritaire parce qu’ils cumulent cinq caractéristiques : des volumes élevés, un impact client direct, une contrainte 24/7 de plus en plus forte, une exposition structurante à la fraude et des obligations réglementaires très concrètes. Dans les paiements instantanés, la valeur n’est pas seulement dans le traitement rapide ; elle est dans la capacité à traiter vite, juste, en sécurité et avec une architecture économiquement soutenable.</w:t>
      </w:r>
    </w:p>
    <w:p w14:paraId="41448171" w14:textId="77777777" w:rsidR="00A32BDF" w:rsidRDefault="00000000">
      <w:pPr>
        <w:pStyle w:val="Titre2"/>
      </w:pPr>
      <w:r>
        <w:t>5.1 Les principaux flux à considérer</w:t>
      </w:r>
    </w:p>
    <w:p w14:paraId="7C26A164" w14:textId="77777777" w:rsidR="00A32BDF" w:rsidRDefault="00000000">
      <w:r>
        <w:t>Le virement SCT classique reste un flux central, souvent traité avec davantage d’asynchronisme, de batchs et de tolérance de délai. Le SCT Inst impose au contraire un chemin synchrone extrêmement maîtrisé, compatible avec des confirmations et mises à disposition de fonds en moins de dix secondes. Le prélèvement SDD est un flux de masse où l’enjeu dominant est souvent la qualité de fichier, la gestion des retours, des rejets et du rapprochement. La Verification of Payee ajoute un nouveau micro-service critique à très faible latence, directement connecté à la prévention de la fraude.[11]</w:t>
      </w:r>
    </w:p>
    <w:p w14:paraId="710A7542" w14:textId="77777777" w:rsidR="00A32BDF" w:rsidRDefault="00000000">
      <w:pPr>
        <w:pStyle w:val="Titre2"/>
      </w:pPr>
      <w:r>
        <w:t>5.2 Lien entre performance de flux et sobriété</w:t>
      </w:r>
    </w:p>
    <w:p w14:paraId="39414F9A" w14:textId="77777777" w:rsidR="00A32BDF" w:rsidRDefault="00000000">
      <w:r>
        <w:t>Un mauvais design de flux dégrade simultanément performance et sobriété. Chaque retry, timeout, file de reprise, doublon de journalisation, transformation inutile de message, jointure coûteuse ou appel externe non essentiel augmente la latence, la charge infra, le coût de run et l’empreinte environnementale. À l’inverse, un design plus frugal tend souvent à être aussi plus robuste.</w:t>
      </w:r>
    </w:p>
    <w:p w14:paraId="19978CB5" w14:textId="77777777" w:rsidR="00A32BDF" w:rsidRDefault="00000000">
      <w:pPr>
        <w:pStyle w:val="Titre2"/>
      </w:pPr>
      <w:r>
        <w:t>5.3 Pourquoi la recherche opérationnelle est pertinente ici</w:t>
      </w:r>
    </w:p>
    <w:p w14:paraId="65FDB359" w14:textId="77777777" w:rsidR="00A32BDF" w:rsidRDefault="00000000">
      <w:r>
        <w:t>Un service de paiement est fondamentalement un système de flux sous contraintes. Il faut arbitrer entre délai, coût, capacité, risque, qualité de service, exposition fraude et liquidité. C’est un terrain naturel pour la recherche opérationnelle : files d’attente, ordonnancement, optimisation de seuils, simulation, prévision de charge, routage et allocation des ressources.</w:t>
      </w:r>
    </w:p>
    <w:p w14:paraId="50D654FE" w14:textId="77777777" w:rsidR="00A32BDF" w:rsidRDefault="00000000">
      <w:pPr>
        <w:pStyle w:val="Titre1"/>
      </w:pPr>
      <w:r>
        <w:t>6. Architecture solution cible d’un service de paiement durable</w:t>
      </w:r>
    </w:p>
    <w:p w14:paraId="4987712F" w14:textId="77777777" w:rsidR="00A32BDF" w:rsidRDefault="00000000">
      <w:r>
        <w:t xml:space="preserve">L’architecture cible recommandée repose sur sept blocs : canaux et initiateurs, payment hub d’orchestration, contrôles temps réel, ledger/comptes, clearing &amp; settlement, bus événementiel et couche </w:t>
      </w:r>
      <w:r>
        <w:lastRenderedPageBreak/>
        <w:t>d’observabilité/GreenOps. L’idée centrale est de réduire le chemin synchrone au strict nécessaire et de déporter tout ce qui ne relève pas de la décision instantanée vers des traitements asynchrones.</w:t>
      </w:r>
    </w:p>
    <w:p w14:paraId="6C0DFAE7" w14:textId="77777777" w:rsidR="00A32BDF" w:rsidRDefault="00000000">
      <w:r>
        <w:rPr>
          <w:noProof/>
        </w:rPr>
        <w:drawing>
          <wp:inline distT="0" distB="0" distL="0" distR="0" wp14:anchorId="04FF643E" wp14:editId="54B55BE4">
            <wp:extent cx="5832000" cy="3423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aiement.png"/>
                    <pic:cNvPicPr/>
                  </pic:nvPicPr>
                  <pic:blipFill>
                    <a:blip r:embed="rId8"/>
                    <a:stretch>
                      <a:fillRect/>
                    </a:stretch>
                  </pic:blipFill>
                  <pic:spPr>
                    <a:xfrm>
                      <a:off x="0" y="0"/>
                      <a:ext cx="5832000" cy="3423289"/>
                    </a:xfrm>
                    <a:prstGeom prst="rect">
                      <a:avLst/>
                    </a:prstGeom>
                  </pic:spPr>
                </pic:pic>
              </a:graphicData>
            </a:graphic>
          </wp:inline>
        </w:drawing>
      </w:r>
    </w:p>
    <w:p w14:paraId="6F5F6028" w14:textId="77777777" w:rsidR="00A32BDF" w:rsidRDefault="00000000">
      <w:pPr>
        <w:pStyle w:val="SourceText"/>
        <w:jc w:val="center"/>
      </w:pPr>
      <w:r>
        <w:t>Figure 1 – Architecture solution cible d’un service de paiement durable (schéma de synthèse produit pour ce rapport à partir des contraintes IPR, VoP, DORA et des bonnes pratiques d’architecture).</w:t>
      </w:r>
    </w:p>
    <w:p w14:paraId="38F8E2A1" w14:textId="77777777" w:rsidR="00A32BDF" w:rsidRDefault="00000000">
      <w:pPr>
        <w:pStyle w:val="Titre2"/>
      </w:pPr>
      <w:r>
        <w:t>6.1 Canaux et normalisation</w:t>
      </w:r>
    </w:p>
    <w:p w14:paraId="3F1B1D52" w14:textId="77777777" w:rsidR="00A32BDF" w:rsidRDefault="00000000">
      <w:r>
        <w:t>Les canaux – banque en ligne, mobile, API partenaires, ERP entreprises, back-office – doivent produire une demande de paiement normalisée. Plus tôt la normalisation est faite, plus on réduit la dette de transformation et les risques d’incohérence. La compatibilité ISO 20022 et la maîtrise des schémas de place deviennent structurantes.</w:t>
      </w:r>
    </w:p>
    <w:p w14:paraId="0E409CAC" w14:textId="77777777" w:rsidR="00A32BDF" w:rsidRDefault="00000000">
      <w:pPr>
        <w:pStyle w:val="Titre2"/>
      </w:pPr>
      <w:r>
        <w:t>6.2 Payment hub / orchestration</w:t>
      </w:r>
    </w:p>
    <w:p w14:paraId="5FC729B4" w14:textId="77777777" w:rsidR="00A32BDF" w:rsidRDefault="00000000">
      <w:r>
        <w:t>Le payment hub est le centre de gravité de la décision. Il gère l’idempotence, le routage, les contrôles de format, l’enrichissement, l’application des règles métier, la publication des événements et la coordination avec les services de contrôle. C’est aussi le bon endroit pour instrumenter le coût et l’intensité carbone par flux.</w:t>
      </w:r>
    </w:p>
    <w:p w14:paraId="7697D992" w14:textId="77777777" w:rsidR="00A32BDF" w:rsidRDefault="00000000">
      <w:pPr>
        <w:pStyle w:val="Titre2"/>
      </w:pPr>
      <w:r>
        <w:t>6.3 Contrôles temps réel</w:t>
      </w:r>
    </w:p>
    <w:p w14:paraId="3A82A78E" w14:textId="77777777" w:rsidR="00A32BDF" w:rsidRDefault="00000000">
      <w:r>
        <w:t>Les contrôles temps réel doivent être précisément sélectionnés : Verification of Payee, contrôle fraude, sanctions, scoring, habilitations, disponibilité. Le risque principal est d’empiler les appels et les dépendances dans le chemin synchrone. Plus ce chemin grossit, plus les risques de timeout, de jitter et de surconsommation augmentent.</w:t>
      </w:r>
    </w:p>
    <w:p w14:paraId="4162D39E" w14:textId="77777777" w:rsidR="00A32BDF" w:rsidRDefault="00000000">
      <w:pPr>
        <w:pStyle w:val="Titre2"/>
      </w:pPr>
      <w:r>
        <w:t>6.4 Ledger et liquidité</w:t>
      </w:r>
    </w:p>
    <w:p w14:paraId="075D36DC" w14:textId="77777777" w:rsidR="00A32BDF" w:rsidRDefault="00000000">
      <w:r>
        <w:t>Le ledger et la gestion des comptes doivent couvrir disponibilité, réservation, posting et rapprochement. Pour les flux instantanés, la couche de liquidité doit être pilotée finement, en lien avec les systèmes de règlement de place. Le problème n’est pas seulement technique : il est aussi économique, puisqu’une liquidité surdimensionnée immobilise de la ressource, tandis qu’une liquidité insuffisante dégrade le service.[11]</w:t>
      </w:r>
    </w:p>
    <w:p w14:paraId="1E0E3CF6" w14:textId="77777777" w:rsidR="00A32BDF" w:rsidRDefault="00000000">
      <w:pPr>
        <w:pStyle w:val="Titre2"/>
      </w:pPr>
      <w:r>
        <w:lastRenderedPageBreak/>
        <w:t>6.5 Event backbone et traitements asynchrones</w:t>
      </w:r>
    </w:p>
    <w:p w14:paraId="23457532" w14:textId="77777777" w:rsidR="00A32BDF" w:rsidRDefault="00000000">
      <w:r>
        <w:t>Chaque changement d’état significatif – reçu, validé, routé, réglé, rejeté, notifié, enquêté – doit produire un événement exploitable par la supervision, la conformité, l’analytics et la relation client. Ce découplage est bénéfique pour la résilience, pour la traçabilité et pour la sobriété, car il évite de faire peser sur le temps réel des traitements qui n’ont pas besoin de l’être.</w:t>
      </w:r>
    </w:p>
    <w:p w14:paraId="3AADD21C" w14:textId="77777777" w:rsidR="00A32BDF" w:rsidRDefault="00000000">
      <w:pPr>
        <w:pStyle w:val="Titre2"/>
      </w:pPr>
      <w:r>
        <w:t>6.6 Observabilité, DORA et GreenOps</w:t>
      </w:r>
    </w:p>
    <w:p w14:paraId="396258EF" w14:textId="77777777" w:rsidR="00A32BDF" w:rsidRDefault="00000000">
      <w:r>
        <w:t>L’observabilité ne doit pas être pensée séparément. Les métriques techniques, coûts, événements de résilience et métriques énergie/carbone doivent converger dans un pilotage unique. C’est la logique GreenOps : rapprocher monitoring d’exploitation, efficacité cloud et métriques environnementales. La FinOps Foundation l’exprime clairement en rapprochant durabilité cloud et efficacité d’usage de la technologie.[19]</w:t>
      </w:r>
    </w:p>
    <w:p w14:paraId="0CFA9DB9" w14:textId="77777777" w:rsidR="00A32BDF" w:rsidRDefault="00000000">
      <w:pPr>
        <w:pStyle w:val="Titre1"/>
      </w:pPr>
      <w:r>
        <w:t>7. Recherche opérationnelle appliquée aux paiements</w:t>
      </w:r>
    </w:p>
    <w:p w14:paraId="05816DF8" w14:textId="77777777" w:rsidR="00A32BDF" w:rsidRDefault="00000000">
      <w:pPr>
        <w:pStyle w:val="Titre2"/>
      </w:pPr>
      <w:r>
        <w:t>7.1 Optimisation de la liquidité intraday</w:t>
      </w:r>
    </w:p>
    <w:p w14:paraId="51647991" w14:textId="77777777" w:rsidR="00A32BDF" w:rsidRDefault="00000000">
      <w:r>
        <w:t>Dans le paiement instantané, la liquidité mobilisée a un coût d’opportunité. La recherche opérationnelle permet de prévoir les besoins intraday par segment de clientèle, jour de semaine, date de paie, saisonnalité marchande ou évènement métier. L’objectif n’est pas de suralimenter en permanence les comptes de règlement, mais de placer la bonne quantité de liquidité au bon moment.</w:t>
      </w:r>
    </w:p>
    <w:p w14:paraId="16988B8A" w14:textId="77777777" w:rsidR="00A32BDF" w:rsidRDefault="00000000">
      <w:pPr>
        <w:pStyle w:val="Titre2"/>
      </w:pPr>
      <w:r>
        <w:t>7.2 Gestion de files et priorisation</w:t>
      </w:r>
    </w:p>
    <w:p w14:paraId="752DFB21" w14:textId="77777777" w:rsidR="00A32BDF" w:rsidRDefault="00000000">
      <w:r>
        <w:t>Tous les flux n’ont pas le même niveau de criticité. Un SCT Inst grand public, un flux corporate critique, un retour de fraude, un lot de SDD et une investigation manuelle ne doivent pas nécessairement partager la même politique d’exécution. Une politique de files, de priorité et d’escalade bien conçue réduit les attentes inutiles et améliore l’usage des ressources.</w:t>
      </w:r>
    </w:p>
    <w:p w14:paraId="00082491" w14:textId="77777777" w:rsidR="00A32BDF" w:rsidRDefault="00000000">
      <w:pPr>
        <w:pStyle w:val="Titre2"/>
      </w:pPr>
      <w:r>
        <w:t>7.3 Capacity planning et simulation</w:t>
      </w:r>
    </w:p>
    <w:p w14:paraId="536F80A7" w14:textId="77777777" w:rsidR="00A32BDF" w:rsidRDefault="00000000">
      <w:r>
        <w:t>Le capacity planning doit tenir compte des pics liés aux salaires, échéances de prélèvements, évènements calendaires, campagnes commerciales et comportements adaptatifs de la fraude. Une capacité trop basse provoque des files, des retries et des incidents ; une capacité trop haute augmente les coûts et l’empreinte de fonctionnement. La recherche opérationnelle fournit ici des méthodes de prévision, simulation et test de scénarios.</w:t>
      </w:r>
    </w:p>
    <w:p w14:paraId="77A7666D" w14:textId="77777777" w:rsidR="00A32BDF" w:rsidRDefault="00000000">
      <w:pPr>
        <w:pStyle w:val="Titre2"/>
      </w:pPr>
      <w:r>
        <w:t>7.4 Optimisation des seuils fraude</w:t>
      </w:r>
    </w:p>
    <w:p w14:paraId="6C115051" w14:textId="77777777" w:rsidR="00A32BDF" w:rsidRDefault="00000000">
      <w:r>
        <w:t>La fraude est un problème d’optimisation multicritère : réduire la perte fraude sans dégrader exagérément le taux d’acceptation, le taux de faux positifs, le délai de réponse ou le coût analyste. Une approche mature combine règles, modèles simples, modèles avancés réservés aux cas ambigus et boucles régulières d’ajustement des seuils. Le rapport EBA-ECB rappelle que les fraudeurs s’adaptent vite, ce qui impose une calibration continue.[16]</w:t>
      </w:r>
    </w:p>
    <w:p w14:paraId="6F4322D7" w14:textId="77777777" w:rsidR="00A32BDF" w:rsidRDefault="00000000">
      <w:pPr>
        <w:pStyle w:val="Titre2"/>
      </w:pPr>
      <w:r>
        <w:t>7.5 Ordonnancement carbon-aware des traitements différés</w:t>
      </w:r>
    </w:p>
    <w:p w14:paraId="7D9C9633" w14:textId="77777777" w:rsidR="00A32BDF" w:rsidRDefault="00000000">
      <w:r>
        <w:t>Tous les traitements ne sont pas instantanés. Rapprochements massifs, consolidation KPI, exports réglementaires, enrichissements analytiques, entraînements ou réentraînements de modèles peuvent être décalés vers des fenêtres plus sobres. Dans une logique GreenOps, l’ordonnancement devient un instrument d’optimisation carbone, pas seulement un sujet d’exploitation batch.</w:t>
      </w:r>
    </w:p>
    <w:p w14:paraId="7B3B2BB8" w14:textId="77777777" w:rsidR="00A32BDF" w:rsidRDefault="00000000">
      <w:pPr>
        <w:pStyle w:val="SectionLead"/>
      </w:pPr>
      <w:r>
        <w:lastRenderedPageBreak/>
        <w:t>Lecture de synthèse : recherche opérationnelle et GreenOps se rejoignent dès que l’on exprime les arbitrages sous forme de contraintes mesurables – temps, capacité, coût, énergie, émissions, risque.</w:t>
      </w:r>
    </w:p>
    <w:p w14:paraId="2809222A" w14:textId="77777777" w:rsidR="00A32BDF" w:rsidRDefault="00000000">
      <w:pPr>
        <w:pStyle w:val="Titre1"/>
      </w:pPr>
      <w:r>
        <w:t>8. GreenOps : principes, mesures, unités et outils</w:t>
      </w:r>
    </w:p>
    <w:p w14:paraId="01706387" w14:textId="77777777" w:rsidR="00A32BDF" w:rsidRDefault="00000000">
      <w:r>
        <w:t>Le GreenOps peut être défini comme l’application au carbone et à l’énergie de la même logique d’amélioration continue que le FinOps applique au coût cloud : visibilité, allocation, priorisation, optimisation, arbitrage et boucle d’amélioration. La FinOps Foundation souligne explicitement que durabilité cloud et FinOps partagent un objectif commun d’efficacité d’usage de la technologie.[19]</w:t>
      </w:r>
    </w:p>
    <w:p w14:paraId="4FA6E358" w14:textId="77777777" w:rsidR="00A32BDF" w:rsidRDefault="00000000">
      <w:pPr>
        <w:pStyle w:val="Titre2"/>
      </w:pPr>
      <w:r>
        <w:t>8.1 Les unités à piloter</w:t>
      </w:r>
    </w:p>
    <w:p w14:paraId="506C94BD" w14:textId="77777777" w:rsidR="00A32BDF" w:rsidRDefault="00000000">
      <w:r>
        <w:t>Les unités de pilotage doivent être séparées par niveau. Au niveau physique et plate-forme : W, kW, Wh, kWh. Au niveau carbone absolu : gCO2e, kgCO2e, tCO2e. Au niveau mix électrique : gCO2e/kWh. Au niveau métier : gCO2e/transaction, Wh/1 000 transactions, gCO2e/scoring fraude, gCO2e/appel VoP. Cette dernière couche est la plus importante, car elle relie enfin métriques techniques et service rendu.</w:t>
      </w:r>
    </w:p>
    <w:p w14:paraId="7092FFEF" w14:textId="77777777" w:rsidR="00A32BDF" w:rsidRDefault="00000000">
      <w:r>
        <w:t>Le SCI de la Green Software Foundation formalise exactement cette logique : calculer un taux d’émission rapporté à une unité fonctionnelle en tenant compte de l’énergie, de l’intensité carbone de l’électricité et de l’empreinte liée au matériel.[18]</w:t>
      </w:r>
    </w:p>
    <w:p w14:paraId="52715588" w14:textId="77777777" w:rsidR="00A32BDF" w:rsidRDefault="00000000">
      <w:r>
        <w:rPr>
          <w:noProof/>
        </w:rPr>
        <w:drawing>
          <wp:inline distT="0" distB="0" distL="0" distR="0" wp14:anchorId="4C930A9A" wp14:editId="400A8871">
            <wp:extent cx="5868000" cy="2751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ops_mesure.png"/>
                    <pic:cNvPicPr/>
                  </pic:nvPicPr>
                  <pic:blipFill>
                    <a:blip r:embed="rId9"/>
                    <a:stretch>
                      <a:fillRect/>
                    </a:stretch>
                  </pic:blipFill>
                  <pic:spPr>
                    <a:xfrm>
                      <a:off x="0" y="0"/>
                      <a:ext cx="5868000" cy="2751540"/>
                    </a:xfrm>
                    <a:prstGeom prst="rect">
                      <a:avLst/>
                    </a:prstGeom>
                  </pic:spPr>
                </pic:pic>
              </a:graphicData>
            </a:graphic>
          </wp:inline>
        </w:drawing>
      </w:r>
    </w:p>
    <w:p w14:paraId="60EB16D9" w14:textId="77777777" w:rsidR="00A32BDF" w:rsidRDefault="00000000">
      <w:pPr>
        <w:pStyle w:val="SourceText"/>
        <w:jc w:val="center"/>
      </w:pPr>
      <w:r>
        <w:t>Figure 2 – Chaîne de mesure GreenOps : usage technique, énergie, facteur carbone, matériel embarqué et unité métier.</w:t>
      </w:r>
    </w:p>
    <w:p w14:paraId="35D877DF" w14:textId="77777777" w:rsidR="00A32BDF" w:rsidRDefault="00000000">
      <w:pPr>
        <w:pStyle w:val="Titre2"/>
      </w:pPr>
      <w:r>
        <w:t>8.2 Comment mesurer : méthode en six étapes</w:t>
      </w:r>
    </w:p>
    <w:p w14:paraId="4C7B7536" w14:textId="77777777" w:rsidR="00A32BDF" w:rsidRDefault="00000000">
      <w:pPr>
        <w:ind w:left="397" w:hanging="198"/>
      </w:pPr>
      <w:r>
        <w:rPr>
          <w:b/>
        </w:rPr>
        <w:t xml:space="preserve">• </w:t>
      </w:r>
      <w:r>
        <w:t>Définir le périmètre : on-prem, cloud public, Kubernetes/OpenShift, applicatif, matériel, environnements de dev/test, production et PRA.</w:t>
      </w:r>
    </w:p>
    <w:p w14:paraId="374C723B" w14:textId="77777777" w:rsidR="00A32BDF" w:rsidRDefault="00000000">
      <w:pPr>
        <w:ind w:left="397" w:hanging="198"/>
      </w:pPr>
      <w:r>
        <w:rPr>
          <w:b/>
        </w:rPr>
        <w:t xml:space="preserve">• </w:t>
      </w:r>
      <w:r>
        <w:t>Mesurer l’activité technique : CPU-seconds, mémoire-heures, stockage GB-mois, trafic réseau, nombre de transactions, temps d’exécution, logs, retries, timeouts.</w:t>
      </w:r>
    </w:p>
    <w:p w14:paraId="0AC72491" w14:textId="77777777" w:rsidR="00A32BDF" w:rsidRDefault="00000000">
      <w:pPr>
        <w:ind w:left="397" w:hanging="198"/>
      </w:pPr>
      <w:r>
        <w:rPr>
          <w:b/>
        </w:rPr>
        <w:t xml:space="preserve">• </w:t>
      </w:r>
      <w:r>
        <w:t>Mesurer ou estimer l’énergie : Kepler / OpenShift Power Monitoring et Scaphandre pour la couche infra ; outillage cloud natif ou outils d’estimation pour le cloud public.</w:t>
      </w:r>
    </w:p>
    <w:p w14:paraId="14D28E11" w14:textId="77777777" w:rsidR="00A32BDF" w:rsidRDefault="00000000">
      <w:pPr>
        <w:ind w:left="397" w:hanging="198"/>
      </w:pPr>
      <w:r>
        <w:rPr>
          <w:b/>
        </w:rPr>
        <w:t xml:space="preserve">• </w:t>
      </w:r>
      <w:r>
        <w:t>Appliquer un facteur carbone en gCO2e/kWh selon la région et le moment, par exemple via Electricity Maps.</w:t>
      </w:r>
    </w:p>
    <w:p w14:paraId="6CA0EF46" w14:textId="77777777" w:rsidR="00A32BDF" w:rsidRDefault="00000000">
      <w:pPr>
        <w:ind w:left="397" w:hanging="198"/>
      </w:pPr>
      <w:r>
        <w:rPr>
          <w:b/>
        </w:rPr>
        <w:lastRenderedPageBreak/>
        <w:t xml:space="preserve">• </w:t>
      </w:r>
      <w:r>
        <w:t>Ajouter l’empreinte embarquée du matériel – serveurs, équipements utilisateurs ou ressources cloud modélisées – via des référentiels d’ACV ou des API telles que Boavizta.</w:t>
      </w:r>
    </w:p>
    <w:p w14:paraId="75084D1C" w14:textId="77777777" w:rsidR="00A32BDF" w:rsidRDefault="00000000">
      <w:pPr>
        <w:ind w:left="397" w:hanging="198"/>
      </w:pPr>
      <w:r>
        <w:rPr>
          <w:b/>
        </w:rPr>
        <w:t xml:space="preserve">• </w:t>
      </w:r>
      <w:r>
        <w:t>Normaliser par unité fonctionnelle métier afin d’obtenir des ratios pilotables par service rendu.</w:t>
      </w:r>
    </w:p>
    <w:p w14:paraId="5A830E9A" w14:textId="77777777" w:rsidR="00A32BDF" w:rsidRDefault="00000000">
      <w:r>
        <w:t>Cette méthode doit être documentée avec honnêteté. Sur bare metal, certaines mesures peuvent être proches de la mesure directe ; dans le cloud public, il s’agit fréquemment d’estimations attribuées à partir des usages, coefficients énergétiques, efficacité des data centers et mix électriques.[20][21][22][23][24][25][26][29]</w:t>
      </w:r>
    </w:p>
    <w:p w14:paraId="70D40548" w14:textId="77777777" w:rsidR="00A32BDF" w:rsidRDefault="00000000">
      <w:pPr>
        <w:pStyle w:val="Titre2"/>
      </w:pPr>
      <w:r>
        <w:t>8.3 Mesure directe versus estimation</w:t>
      </w:r>
    </w:p>
    <w:p w14:paraId="10DB851C" w14:textId="77777777" w:rsidR="00A32BDF" w:rsidRDefault="00000000">
      <w:r>
        <w:t>Mesure directe : Kepler peut collecter des données temps réel de consommation au niveau nœud et conteneur via le sous-système de gestion de l’énergie du noyau, ou recourir à un estimateur si l’accès matériel n’est pas disponible. Red Hat précise toutefois que l’estimator est expérimental et non recommandé comme base de confiance unique. Scaphandre, de son côté, expose les métriques de consommation électrique via un exporter Prometheus.[20][21]</w:t>
      </w:r>
    </w:p>
    <w:p w14:paraId="508E30A7" w14:textId="77777777" w:rsidR="00A32BDF" w:rsidRDefault="00000000">
      <w:r>
        <w:t>Estimation attribuée : dans le cloud public, de nombreux outils calculent l’énergie ou les émissions à partir d’hypothèses. Cloud Carbon Footprint indique explicitement qu’il convertit l’usage cloud en estimations d’énergie et d’émissions selon une méthodologie basée notamment sur des coefficients énergétiques. Les outils natifs des hyperscalers fournissent de la visibilité utile, mais doivent être interprétés comme des estimations outillées.[22][23][24][25]</w:t>
      </w:r>
    </w:p>
    <w:p w14:paraId="79ED5A52" w14:textId="77777777" w:rsidR="00A32BDF" w:rsidRDefault="00000000">
      <w:pPr>
        <w:pStyle w:val="Titre2"/>
      </w:pPr>
      <w:r>
        <w:t>8.4 Outils utiles et positionnement</w:t>
      </w:r>
    </w:p>
    <w:tbl>
      <w:tblPr>
        <w:tblW w:w="0" w:type="auto"/>
        <w:jc w:val="center"/>
        <w:tblLayout w:type="fixed"/>
        <w:tblLook w:val="04A0" w:firstRow="1" w:lastRow="0" w:firstColumn="1" w:lastColumn="0" w:noHBand="0" w:noVBand="1"/>
      </w:tblPr>
      <w:tblGrid>
        <w:gridCol w:w="2465"/>
        <w:gridCol w:w="2465"/>
        <w:gridCol w:w="2608"/>
        <w:gridCol w:w="2465"/>
      </w:tblGrid>
      <w:tr w:rsidR="00A32BDF" w14:paraId="4F2B824D" w14:textId="77777777">
        <w:trPr>
          <w:tblHeader/>
          <w:jc w:val="center"/>
        </w:trPr>
        <w:tc>
          <w:tcPr>
            <w:tcW w:w="1984" w:type="dxa"/>
            <w:shd w:val="clear" w:color="auto" w:fill="D9EAF7"/>
            <w:tcMar>
              <w:top w:w="85" w:type="dxa"/>
              <w:left w:w="95" w:type="dxa"/>
              <w:bottom w:w="85" w:type="dxa"/>
              <w:right w:w="95" w:type="dxa"/>
            </w:tcMar>
          </w:tcPr>
          <w:p w14:paraId="21AEEBF5" w14:textId="77777777" w:rsidR="00A32BDF" w:rsidRDefault="00000000">
            <w:pPr>
              <w:pStyle w:val="TableText"/>
              <w:jc w:val="center"/>
            </w:pPr>
            <w:r>
              <w:rPr>
                <w:b/>
              </w:rPr>
              <w:t>Catégorie</w:t>
            </w:r>
          </w:p>
        </w:tc>
        <w:tc>
          <w:tcPr>
            <w:tcW w:w="2268" w:type="dxa"/>
            <w:shd w:val="clear" w:color="auto" w:fill="D9EAF7"/>
            <w:tcMar>
              <w:top w:w="85" w:type="dxa"/>
              <w:left w:w="95" w:type="dxa"/>
              <w:bottom w:w="85" w:type="dxa"/>
              <w:right w:w="95" w:type="dxa"/>
            </w:tcMar>
          </w:tcPr>
          <w:p w14:paraId="4E9EECB2" w14:textId="77777777" w:rsidR="00A32BDF" w:rsidRDefault="00000000">
            <w:pPr>
              <w:pStyle w:val="TableText"/>
              <w:jc w:val="center"/>
            </w:pPr>
            <w:r>
              <w:rPr>
                <w:b/>
              </w:rPr>
              <w:t>Outil</w:t>
            </w:r>
          </w:p>
        </w:tc>
        <w:tc>
          <w:tcPr>
            <w:tcW w:w="2608" w:type="dxa"/>
            <w:shd w:val="clear" w:color="auto" w:fill="D9EAF7"/>
            <w:tcMar>
              <w:top w:w="85" w:type="dxa"/>
              <w:left w:w="95" w:type="dxa"/>
              <w:bottom w:w="85" w:type="dxa"/>
              <w:right w:w="95" w:type="dxa"/>
            </w:tcMar>
          </w:tcPr>
          <w:p w14:paraId="41EB4893" w14:textId="77777777" w:rsidR="00A32BDF" w:rsidRDefault="00000000">
            <w:pPr>
              <w:pStyle w:val="TableText"/>
              <w:jc w:val="center"/>
            </w:pPr>
            <w:r>
              <w:rPr>
                <w:b/>
              </w:rPr>
              <w:t>Ce qu’il permet</w:t>
            </w:r>
          </w:p>
        </w:tc>
        <w:tc>
          <w:tcPr>
            <w:tcW w:w="2268" w:type="dxa"/>
            <w:shd w:val="clear" w:color="auto" w:fill="D9EAF7"/>
            <w:tcMar>
              <w:top w:w="85" w:type="dxa"/>
              <w:left w:w="95" w:type="dxa"/>
              <w:bottom w:w="85" w:type="dxa"/>
              <w:right w:w="95" w:type="dxa"/>
            </w:tcMar>
          </w:tcPr>
          <w:p w14:paraId="7A4BF60E" w14:textId="77777777" w:rsidR="00A32BDF" w:rsidRDefault="00000000">
            <w:pPr>
              <w:pStyle w:val="TableText"/>
              <w:jc w:val="center"/>
            </w:pPr>
            <w:r>
              <w:rPr>
                <w:b/>
              </w:rPr>
              <w:t>Limites / points d’attention</w:t>
            </w:r>
          </w:p>
        </w:tc>
      </w:tr>
      <w:tr w:rsidR="00A32BDF" w14:paraId="1279D680" w14:textId="77777777">
        <w:trPr>
          <w:jc w:val="center"/>
        </w:trPr>
        <w:tc>
          <w:tcPr>
            <w:tcW w:w="2465" w:type="dxa"/>
            <w:tcMar>
              <w:top w:w="85" w:type="dxa"/>
              <w:left w:w="95" w:type="dxa"/>
              <w:bottom w:w="85" w:type="dxa"/>
              <w:right w:w="95" w:type="dxa"/>
            </w:tcMar>
            <w:vAlign w:val="center"/>
          </w:tcPr>
          <w:p w14:paraId="5332B0B1" w14:textId="77777777" w:rsidR="00A32BDF" w:rsidRDefault="00000000">
            <w:pPr>
              <w:pStyle w:val="TableText"/>
            </w:pPr>
            <w:r>
              <w:t>Cloud natif</w:t>
            </w:r>
          </w:p>
        </w:tc>
        <w:tc>
          <w:tcPr>
            <w:tcW w:w="2465" w:type="dxa"/>
            <w:tcMar>
              <w:top w:w="85" w:type="dxa"/>
              <w:left w:w="95" w:type="dxa"/>
              <w:bottom w:w="85" w:type="dxa"/>
              <w:right w:w="95" w:type="dxa"/>
            </w:tcMar>
            <w:vAlign w:val="center"/>
          </w:tcPr>
          <w:p w14:paraId="5AB165A5" w14:textId="77777777" w:rsidR="00A32BDF" w:rsidRDefault="00000000">
            <w:pPr>
              <w:pStyle w:val="TableText"/>
            </w:pPr>
            <w:r>
              <w:t>AWS CCFT / AWS Sustainability</w:t>
            </w:r>
          </w:p>
        </w:tc>
        <w:tc>
          <w:tcPr>
            <w:tcW w:w="2465" w:type="dxa"/>
            <w:tcMar>
              <w:top w:w="85" w:type="dxa"/>
              <w:left w:w="95" w:type="dxa"/>
              <w:bottom w:w="85" w:type="dxa"/>
              <w:right w:w="95" w:type="dxa"/>
            </w:tcMar>
            <w:vAlign w:val="center"/>
          </w:tcPr>
          <w:p w14:paraId="629541A2" w14:textId="77777777" w:rsidR="00A32BDF" w:rsidRDefault="00000000">
            <w:pPr>
              <w:pStyle w:val="TableText"/>
            </w:pPr>
            <w:r>
              <w:t>Historique, émissions par région et service, export et suivi de tendances</w:t>
            </w:r>
          </w:p>
        </w:tc>
        <w:tc>
          <w:tcPr>
            <w:tcW w:w="2465" w:type="dxa"/>
            <w:tcMar>
              <w:top w:w="85" w:type="dxa"/>
              <w:left w:w="95" w:type="dxa"/>
              <w:bottom w:w="85" w:type="dxa"/>
              <w:right w:w="95" w:type="dxa"/>
            </w:tcMar>
            <w:vAlign w:val="center"/>
          </w:tcPr>
          <w:p w14:paraId="1303C3C3" w14:textId="77777777" w:rsidR="00A32BDF" w:rsidRDefault="00000000">
            <w:pPr>
              <w:pStyle w:val="TableText"/>
            </w:pPr>
            <w:r>
              <w:t>outil CCFT déprécié au 30 juin 2026 ; logique d’estimation attribuée</w:t>
            </w:r>
          </w:p>
        </w:tc>
      </w:tr>
      <w:tr w:rsidR="00A32BDF" w14:paraId="1BD62B0B" w14:textId="77777777">
        <w:trPr>
          <w:jc w:val="center"/>
        </w:trPr>
        <w:tc>
          <w:tcPr>
            <w:tcW w:w="2465" w:type="dxa"/>
            <w:tcMar>
              <w:top w:w="85" w:type="dxa"/>
              <w:left w:w="95" w:type="dxa"/>
              <w:bottom w:w="85" w:type="dxa"/>
              <w:right w:w="95" w:type="dxa"/>
            </w:tcMar>
            <w:vAlign w:val="center"/>
          </w:tcPr>
          <w:p w14:paraId="6726AAFD" w14:textId="77777777" w:rsidR="00A32BDF" w:rsidRDefault="00000000">
            <w:pPr>
              <w:pStyle w:val="TableText"/>
            </w:pPr>
            <w:r>
              <w:t>Cloud natif</w:t>
            </w:r>
          </w:p>
        </w:tc>
        <w:tc>
          <w:tcPr>
            <w:tcW w:w="2465" w:type="dxa"/>
            <w:tcMar>
              <w:top w:w="85" w:type="dxa"/>
              <w:left w:w="95" w:type="dxa"/>
              <w:bottom w:w="85" w:type="dxa"/>
              <w:right w:w="95" w:type="dxa"/>
            </w:tcMar>
            <w:vAlign w:val="center"/>
          </w:tcPr>
          <w:p w14:paraId="517A987B" w14:textId="77777777" w:rsidR="00A32BDF" w:rsidRDefault="00000000">
            <w:pPr>
              <w:pStyle w:val="TableText"/>
            </w:pPr>
            <w:r>
              <w:t>Azure Carbon optimization</w:t>
            </w:r>
          </w:p>
        </w:tc>
        <w:tc>
          <w:tcPr>
            <w:tcW w:w="2465" w:type="dxa"/>
            <w:tcMar>
              <w:top w:w="85" w:type="dxa"/>
              <w:left w:w="95" w:type="dxa"/>
              <w:bottom w:w="85" w:type="dxa"/>
              <w:right w:w="95" w:type="dxa"/>
            </w:tcMar>
            <w:vAlign w:val="center"/>
          </w:tcPr>
          <w:p w14:paraId="67388817" w14:textId="77777777" w:rsidR="00A32BDF" w:rsidRDefault="00000000">
            <w:pPr>
              <w:pStyle w:val="TableText"/>
            </w:pPr>
            <w:r>
              <w:t>vues par abonnement, resource group, resource type, location ; export CSV</w:t>
            </w:r>
          </w:p>
        </w:tc>
        <w:tc>
          <w:tcPr>
            <w:tcW w:w="2465" w:type="dxa"/>
            <w:tcMar>
              <w:top w:w="85" w:type="dxa"/>
              <w:left w:w="95" w:type="dxa"/>
              <w:bottom w:w="85" w:type="dxa"/>
              <w:right w:w="95" w:type="dxa"/>
            </w:tcMar>
            <w:vAlign w:val="center"/>
          </w:tcPr>
          <w:p w14:paraId="7EC9B949" w14:textId="77777777" w:rsidR="00A32BDF" w:rsidRDefault="00000000">
            <w:pPr>
              <w:pStyle w:val="TableText"/>
            </w:pPr>
            <w:r>
              <w:t>historique et granularité dépendants du portail et des exports</w:t>
            </w:r>
          </w:p>
        </w:tc>
      </w:tr>
      <w:tr w:rsidR="00A32BDF" w14:paraId="281F72AB" w14:textId="77777777">
        <w:trPr>
          <w:jc w:val="center"/>
        </w:trPr>
        <w:tc>
          <w:tcPr>
            <w:tcW w:w="2465" w:type="dxa"/>
            <w:tcMar>
              <w:top w:w="85" w:type="dxa"/>
              <w:left w:w="95" w:type="dxa"/>
              <w:bottom w:w="85" w:type="dxa"/>
              <w:right w:w="95" w:type="dxa"/>
            </w:tcMar>
            <w:vAlign w:val="center"/>
          </w:tcPr>
          <w:p w14:paraId="023E12DA" w14:textId="77777777" w:rsidR="00A32BDF" w:rsidRDefault="00000000">
            <w:pPr>
              <w:pStyle w:val="TableText"/>
            </w:pPr>
            <w:r>
              <w:t>Cloud natif</w:t>
            </w:r>
          </w:p>
        </w:tc>
        <w:tc>
          <w:tcPr>
            <w:tcW w:w="2465" w:type="dxa"/>
            <w:tcMar>
              <w:top w:w="85" w:type="dxa"/>
              <w:left w:w="95" w:type="dxa"/>
              <w:bottom w:w="85" w:type="dxa"/>
              <w:right w:w="95" w:type="dxa"/>
            </w:tcMar>
            <w:vAlign w:val="center"/>
          </w:tcPr>
          <w:p w14:paraId="2265DE1C" w14:textId="77777777" w:rsidR="00A32BDF" w:rsidRDefault="00000000">
            <w:pPr>
              <w:pStyle w:val="TableText"/>
            </w:pPr>
            <w:r>
              <w:t>Google Cloud Carbon Footprint</w:t>
            </w:r>
          </w:p>
        </w:tc>
        <w:tc>
          <w:tcPr>
            <w:tcW w:w="2465" w:type="dxa"/>
            <w:tcMar>
              <w:top w:w="85" w:type="dxa"/>
              <w:left w:w="95" w:type="dxa"/>
              <w:bottom w:w="85" w:type="dxa"/>
              <w:right w:w="95" w:type="dxa"/>
            </w:tcMar>
            <w:vAlign w:val="center"/>
          </w:tcPr>
          <w:p w14:paraId="39069265" w14:textId="77777777" w:rsidR="00A32BDF" w:rsidRDefault="00000000">
            <w:pPr>
              <w:pStyle w:val="TableText"/>
            </w:pPr>
            <w:r>
              <w:t>émissions market-based et location-based par projet, produit et région</w:t>
            </w:r>
          </w:p>
        </w:tc>
        <w:tc>
          <w:tcPr>
            <w:tcW w:w="2465" w:type="dxa"/>
            <w:tcMar>
              <w:top w:w="85" w:type="dxa"/>
              <w:left w:w="95" w:type="dxa"/>
              <w:bottom w:w="85" w:type="dxa"/>
              <w:right w:w="95" w:type="dxa"/>
            </w:tcMar>
            <w:vAlign w:val="center"/>
          </w:tcPr>
          <w:p w14:paraId="4C2AFC57" w14:textId="77777777" w:rsidR="00A32BDF" w:rsidRDefault="00000000">
            <w:pPr>
              <w:pStyle w:val="TableText"/>
            </w:pPr>
            <w:r>
              <w:t>nécessite articulation avec données métier pour obtenir un ratio par transaction</w:t>
            </w:r>
          </w:p>
        </w:tc>
      </w:tr>
      <w:tr w:rsidR="00A32BDF" w14:paraId="72F9F677" w14:textId="77777777">
        <w:trPr>
          <w:jc w:val="center"/>
        </w:trPr>
        <w:tc>
          <w:tcPr>
            <w:tcW w:w="2465" w:type="dxa"/>
            <w:tcMar>
              <w:top w:w="85" w:type="dxa"/>
              <w:left w:w="95" w:type="dxa"/>
              <w:bottom w:w="85" w:type="dxa"/>
              <w:right w:w="95" w:type="dxa"/>
            </w:tcMar>
            <w:vAlign w:val="center"/>
          </w:tcPr>
          <w:p w14:paraId="597ED486" w14:textId="77777777" w:rsidR="00A32BDF" w:rsidRDefault="00000000">
            <w:pPr>
              <w:pStyle w:val="TableText"/>
            </w:pPr>
            <w:r>
              <w:t>Kubernetes / OpenShift</w:t>
            </w:r>
          </w:p>
        </w:tc>
        <w:tc>
          <w:tcPr>
            <w:tcW w:w="2465" w:type="dxa"/>
            <w:tcMar>
              <w:top w:w="85" w:type="dxa"/>
              <w:left w:w="95" w:type="dxa"/>
              <w:bottom w:w="85" w:type="dxa"/>
              <w:right w:w="95" w:type="dxa"/>
            </w:tcMar>
            <w:vAlign w:val="center"/>
          </w:tcPr>
          <w:p w14:paraId="71AC00AD" w14:textId="77777777" w:rsidR="00A32BDF" w:rsidRDefault="00000000">
            <w:pPr>
              <w:pStyle w:val="TableText"/>
            </w:pPr>
            <w:r>
              <w:t>Kepler / Power Monitoring</w:t>
            </w:r>
          </w:p>
        </w:tc>
        <w:tc>
          <w:tcPr>
            <w:tcW w:w="2465" w:type="dxa"/>
            <w:tcMar>
              <w:top w:w="85" w:type="dxa"/>
              <w:left w:w="95" w:type="dxa"/>
              <w:bottom w:w="85" w:type="dxa"/>
              <w:right w:w="95" w:type="dxa"/>
            </w:tcMar>
            <w:vAlign w:val="center"/>
          </w:tcPr>
          <w:p w14:paraId="6EA2F18B" w14:textId="77777777" w:rsidR="00A32BDF" w:rsidRDefault="00000000">
            <w:pPr>
              <w:pStyle w:val="TableText"/>
            </w:pPr>
            <w:r>
              <w:t>puissance et énergie au niveau nœud, pod, namespace</w:t>
            </w:r>
          </w:p>
        </w:tc>
        <w:tc>
          <w:tcPr>
            <w:tcW w:w="2465" w:type="dxa"/>
            <w:tcMar>
              <w:top w:w="85" w:type="dxa"/>
              <w:left w:w="95" w:type="dxa"/>
              <w:bottom w:w="85" w:type="dxa"/>
              <w:right w:w="95" w:type="dxa"/>
            </w:tcMar>
            <w:vAlign w:val="center"/>
          </w:tcPr>
          <w:p w14:paraId="7C1955B5" w14:textId="77777777" w:rsidR="00A32BDF" w:rsidRDefault="00000000">
            <w:pPr>
              <w:pStyle w:val="TableText"/>
            </w:pPr>
            <w:r>
              <w:t>dépend des capacités matérielles ; cloud public plus limité</w:t>
            </w:r>
          </w:p>
        </w:tc>
      </w:tr>
      <w:tr w:rsidR="00A32BDF" w14:paraId="234FBE62" w14:textId="77777777">
        <w:trPr>
          <w:jc w:val="center"/>
        </w:trPr>
        <w:tc>
          <w:tcPr>
            <w:tcW w:w="2465" w:type="dxa"/>
            <w:tcMar>
              <w:top w:w="85" w:type="dxa"/>
              <w:left w:w="95" w:type="dxa"/>
              <w:bottom w:w="85" w:type="dxa"/>
              <w:right w:w="95" w:type="dxa"/>
            </w:tcMar>
            <w:vAlign w:val="center"/>
          </w:tcPr>
          <w:p w14:paraId="7A711ADA" w14:textId="77777777" w:rsidR="00A32BDF" w:rsidRDefault="00000000">
            <w:pPr>
              <w:pStyle w:val="TableText"/>
            </w:pPr>
            <w:r>
              <w:t>Hôte / processus</w:t>
            </w:r>
          </w:p>
        </w:tc>
        <w:tc>
          <w:tcPr>
            <w:tcW w:w="2465" w:type="dxa"/>
            <w:tcMar>
              <w:top w:w="85" w:type="dxa"/>
              <w:left w:w="95" w:type="dxa"/>
              <w:bottom w:w="85" w:type="dxa"/>
              <w:right w:w="95" w:type="dxa"/>
            </w:tcMar>
            <w:vAlign w:val="center"/>
          </w:tcPr>
          <w:p w14:paraId="6020257D" w14:textId="77777777" w:rsidR="00A32BDF" w:rsidRDefault="00000000">
            <w:pPr>
              <w:pStyle w:val="TableText"/>
            </w:pPr>
            <w:r>
              <w:t>Scaphandre</w:t>
            </w:r>
          </w:p>
        </w:tc>
        <w:tc>
          <w:tcPr>
            <w:tcW w:w="2465" w:type="dxa"/>
            <w:tcMar>
              <w:top w:w="85" w:type="dxa"/>
              <w:left w:w="95" w:type="dxa"/>
              <w:bottom w:w="85" w:type="dxa"/>
              <w:right w:w="95" w:type="dxa"/>
            </w:tcMar>
            <w:vAlign w:val="center"/>
          </w:tcPr>
          <w:p w14:paraId="4C4B15D5" w14:textId="77777777" w:rsidR="00A32BDF" w:rsidRDefault="00000000">
            <w:pPr>
              <w:pStyle w:val="TableText"/>
            </w:pPr>
            <w:r>
              <w:t>métriques électriques via Prometheus pour hôtes/processus</w:t>
            </w:r>
          </w:p>
        </w:tc>
        <w:tc>
          <w:tcPr>
            <w:tcW w:w="2465" w:type="dxa"/>
            <w:tcMar>
              <w:top w:w="85" w:type="dxa"/>
              <w:left w:w="95" w:type="dxa"/>
              <w:bottom w:w="85" w:type="dxa"/>
              <w:right w:w="95" w:type="dxa"/>
            </w:tcMar>
            <w:vAlign w:val="center"/>
          </w:tcPr>
          <w:p w14:paraId="77917C05" w14:textId="77777777" w:rsidR="00A32BDF" w:rsidRDefault="00000000">
            <w:pPr>
              <w:pStyle w:val="TableText"/>
            </w:pPr>
            <w:r>
              <w:t>mise en œuvre et qualité de mesure dépendantes du contexte système</w:t>
            </w:r>
          </w:p>
        </w:tc>
      </w:tr>
      <w:tr w:rsidR="00A32BDF" w14:paraId="2662C808" w14:textId="77777777">
        <w:trPr>
          <w:jc w:val="center"/>
        </w:trPr>
        <w:tc>
          <w:tcPr>
            <w:tcW w:w="2465" w:type="dxa"/>
            <w:tcMar>
              <w:top w:w="85" w:type="dxa"/>
              <w:left w:w="95" w:type="dxa"/>
              <w:bottom w:w="85" w:type="dxa"/>
              <w:right w:w="95" w:type="dxa"/>
            </w:tcMar>
            <w:vAlign w:val="center"/>
          </w:tcPr>
          <w:p w14:paraId="4547851A" w14:textId="77777777" w:rsidR="00A32BDF" w:rsidRDefault="00000000">
            <w:pPr>
              <w:pStyle w:val="TableText"/>
            </w:pPr>
            <w:r>
              <w:t>Multi-cloud OSS</w:t>
            </w:r>
          </w:p>
        </w:tc>
        <w:tc>
          <w:tcPr>
            <w:tcW w:w="2465" w:type="dxa"/>
            <w:tcMar>
              <w:top w:w="85" w:type="dxa"/>
              <w:left w:w="95" w:type="dxa"/>
              <w:bottom w:w="85" w:type="dxa"/>
              <w:right w:w="95" w:type="dxa"/>
            </w:tcMar>
            <w:vAlign w:val="center"/>
          </w:tcPr>
          <w:p w14:paraId="63CA0591" w14:textId="77777777" w:rsidR="00A32BDF" w:rsidRDefault="00000000">
            <w:pPr>
              <w:pStyle w:val="TableText"/>
            </w:pPr>
            <w:r>
              <w:t>Cloud Carbon Footprint</w:t>
            </w:r>
          </w:p>
        </w:tc>
        <w:tc>
          <w:tcPr>
            <w:tcW w:w="2465" w:type="dxa"/>
            <w:tcMar>
              <w:top w:w="85" w:type="dxa"/>
              <w:left w:w="95" w:type="dxa"/>
              <w:bottom w:w="85" w:type="dxa"/>
              <w:right w:w="95" w:type="dxa"/>
            </w:tcMar>
            <w:vAlign w:val="center"/>
          </w:tcPr>
          <w:p w14:paraId="584484AF" w14:textId="77777777" w:rsidR="00A32BDF" w:rsidRDefault="00000000">
            <w:pPr>
              <w:pStyle w:val="TableText"/>
            </w:pPr>
            <w:r>
              <w:t>vue unifiée kWh / émissions multi-cloud</w:t>
            </w:r>
          </w:p>
        </w:tc>
        <w:tc>
          <w:tcPr>
            <w:tcW w:w="2465" w:type="dxa"/>
            <w:tcMar>
              <w:top w:w="85" w:type="dxa"/>
              <w:left w:w="95" w:type="dxa"/>
              <w:bottom w:w="85" w:type="dxa"/>
              <w:right w:w="95" w:type="dxa"/>
            </w:tcMar>
            <w:vAlign w:val="center"/>
          </w:tcPr>
          <w:p w14:paraId="57A314D3" w14:textId="77777777" w:rsidR="00A32BDF" w:rsidRDefault="00000000">
            <w:pPr>
              <w:pStyle w:val="TableText"/>
            </w:pPr>
            <w:r>
              <w:t>repose sur une méthodologie d’estimation et des hypothèses</w:t>
            </w:r>
          </w:p>
        </w:tc>
      </w:tr>
      <w:tr w:rsidR="00A32BDF" w14:paraId="12593D53" w14:textId="77777777">
        <w:trPr>
          <w:jc w:val="center"/>
        </w:trPr>
        <w:tc>
          <w:tcPr>
            <w:tcW w:w="2465" w:type="dxa"/>
            <w:tcMar>
              <w:top w:w="85" w:type="dxa"/>
              <w:left w:w="95" w:type="dxa"/>
              <w:bottom w:w="85" w:type="dxa"/>
              <w:right w:w="95" w:type="dxa"/>
            </w:tcMar>
            <w:vAlign w:val="center"/>
          </w:tcPr>
          <w:p w14:paraId="36A0AB88" w14:textId="77777777" w:rsidR="00A32BDF" w:rsidRDefault="00000000">
            <w:pPr>
              <w:pStyle w:val="TableText"/>
            </w:pPr>
            <w:r>
              <w:t>Facteurs et ACV</w:t>
            </w:r>
          </w:p>
        </w:tc>
        <w:tc>
          <w:tcPr>
            <w:tcW w:w="2465" w:type="dxa"/>
            <w:tcMar>
              <w:top w:w="85" w:type="dxa"/>
              <w:left w:w="95" w:type="dxa"/>
              <w:bottom w:w="85" w:type="dxa"/>
              <w:right w:w="95" w:type="dxa"/>
            </w:tcMar>
            <w:vAlign w:val="center"/>
          </w:tcPr>
          <w:p w14:paraId="4CE144F7" w14:textId="77777777" w:rsidR="00A32BDF" w:rsidRDefault="00000000">
            <w:pPr>
              <w:pStyle w:val="TableText"/>
            </w:pPr>
            <w:r>
              <w:t>Electricity Maps + Boavizta</w:t>
            </w:r>
          </w:p>
        </w:tc>
        <w:tc>
          <w:tcPr>
            <w:tcW w:w="2465" w:type="dxa"/>
            <w:tcMar>
              <w:top w:w="85" w:type="dxa"/>
              <w:left w:w="95" w:type="dxa"/>
              <w:bottom w:w="85" w:type="dxa"/>
              <w:right w:w="95" w:type="dxa"/>
            </w:tcMar>
            <w:vAlign w:val="center"/>
          </w:tcPr>
          <w:p w14:paraId="791F9949" w14:textId="77777777" w:rsidR="00A32BDF" w:rsidRDefault="00000000">
            <w:pPr>
              <w:pStyle w:val="TableText"/>
            </w:pPr>
            <w:r>
              <w:t>facteurs carbone temps réel / historiques et impacts embarqués</w:t>
            </w:r>
          </w:p>
        </w:tc>
        <w:tc>
          <w:tcPr>
            <w:tcW w:w="2465" w:type="dxa"/>
            <w:tcMar>
              <w:top w:w="85" w:type="dxa"/>
              <w:left w:w="95" w:type="dxa"/>
              <w:bottom w:w="85" w:type="dxa"/>
              <w:right w:w="95" w:type="dxa"/>
            </w:tcMar>
            <w:vAlign w:val="center"/>
          </w:tcPr>
          <w:p w14:paraId="4C487264" w14:textId="77777777" w:rsidR="00A32BDF" w:rsidRDefault="00000000">
            <w:pPr>
              <w:pStyle w:val="TableText"/>
            </w:pPr>
            <w:r>
              <w:t>nécessite intégration et choix explicite des hypothèses</w:t>
            </w:r>
          </w:p>
        </w:tc>
      </w:tr>
    </w:tbl>
    <w:p w14:paraId="04924836" w14:textId="77777777" w:rsidR="00A32BDF" w:rsidRDefault="00000000">
      <w:r>
        <w:t xml:space="preserve">Les outils cloud natifs apportent une visibilité utile. AWS indique que le Customer Carbon Footprint Tool affiche 38 mois d’historique, une résolution standard à 0,001 MTCO2e soit 1 kgCO2e, et sera déprécié au 30 juin 2026 au </w:t>
      </w:r>
      <w:r>
        <w:lastRenderedPageBreak/>
        <w:t>profit du nouveau service AWS Sustainability. Azure Carbon optimization permet de filtrer les données par souscription, resource group, resource type et export CSV. Google Cloud Carbon Footprint donne une vue par projet, produit et région, avec émissions market-based et location-based.[23][24][25]</w:t>
      </w:r>
    </w:p>
    <w:p w14:paraId="7AE8F5C9" w14:textId="77777777" w:rsidR="00A32BDF" w:rsidRDefault="00000000">
      <w:r>
        <w:t>Au niveau data center, deux métriques restent structurantes : PUE pour l’efficacité énergétique de l’infrastructure et CUE pour les émissions spécifiques du site. Elles ne suffisent pas à piloter un service paiement, mais restent utiles pour cadrer l’efficacité globale du socle d’hébergement.[30][31]</w:t>
      </w:r>
    </w:p>
    <w:p w14:paraId="562A2CBC" w14:textId="77777777" w:rsidR="00A32BDF" w:rsidRDefault="00000000">
      <w:pPr>
        <w:pStyle w:val="Titre2"/>
      </w:pPr>
      <w:r>
        <w:t>8.5 GreenOps et IA frugale</w:t>
      </w:r>
    </w:p>
    <w:p w14:paraId="2B0306EF" w14:textId="77777777" w:rsidR="00A32BDF" w:rsidRDefault="00000000">
      <w:r>
        <w:t>La logique GreenOps doit aussi englober l’IA. L’AFNOR Spec sur l’IA frugale propose une méthodologie d’évaluation en approche cycle de vie et 31 fiches de bonnes pratiques. Pour une DSI paiements, le bon principe est de réserver les modèles les plus coûteux aux cas ambigus, de privilégier des modèles proportionnés, de limiter les inférences inutiles et de distinguer clairement les traitements temps réel des traitements différés.[17]</w:t>
      </w:r>
    </w:p>
    <w:p w14:paraId="2E2DC21C" w14:textId="77777777" w:rsidR="00A32BDF" w:rsidRDefault="00000000">
      <w:r>
        <w:t>L’IA a sa place dans la lutte contre la fraude, l’assistance aux investigations, l’optimisation des seuils et l’anticipation de charge ; elle ne doit pas être déclenchée partout par réflexe. La sobriété en IA commence souvent par la question : faut-il un modèle, et si oui, quel niveau de sophistication justifie réellement le coût énergétique et opérationnel ?</w:t>
      </w:r>
    </w:p>
    <w:p w14:paraId="2C7C8A5C" w14:textId="77777777" w:rsidR="00A32BDF" w:rsidRDefault="00000000">
      <w:pPr>
        <w:pStyle w:val="Titre1"/>
      </w:pPr>
      <w:r>
        <w:t>9. Mesures concrètes et quick wins</w:t>
      </w:r>
    </w:p>
    <w:p w14:paraId="40D4AB43" w14:textId="77777777" w:rsidR="00A32BDF" w:rsidRDefault="00000000">
      <w:r>
        <w:t>Les gains les plus rapides ne viennent généralement pas de l’achat d’un nouveau tableau de bord, mais de mesures d’exploitation et d’architecture. Les actions ci-dessous sont celles qui apportent le plus souvent un triple bénéfice coût / résilience / sobriété.</w:t>
      </w:r>
    </w:p>
    <w:p w14:paraId="39BAF9E3" w14:textId="77777777" w:rsidR="00A32BDF" w:rsidRDefault="00000000">
      <w:pPr>
        <w:ind w:left="397" w:hanging="198"/>
      </w:pPr>
      <w:r>
        <w:rPr>
          <w:b/>
        </w:rPr>
        <w:t xml:space="preserve">• </w:t>
      </w:r>
      <w:r>
        <w:t>Arrêt automatique des environnements de dev/test hors horaires utiles et suppression des environnements orphelins.</w:t>
      </w:r>
    </w:p>
    <w:p w14:paraId="55115D6B" w14:textId="77777777" w:rsidR="00A32BDF" w:rsidRDefault="00000000">
      <w:pPr>
        <w:ind w:left="397" w:hanging="198"/>
      </w:pPr>
      <w:r>
        <w:rPr>
          <w:b/>
        </w:rPr>
        <w:t xml:space="preserve">• </w:t>
      </w:r>
      <w:r>
        <w:t>Right-sizing des requests / limits Kubernetes et réduction des workloads idle.</w:t>
      </w:r>
    </w:p>
    <w:p w14:paraId="1639B78D" w14:textId="77777777" w:rsidR="00A32BDF" w:rsidRDefault="00000000">
      <w:pPr>
        <w:ind w:left="397" w:hanging="198"/>
      </w:pPr>
      <w:r>
        <w:rPr>
          <w:b/>
        </w:rPr>
        <w:t xml:space="preserve">• </w:t>
      </w:r>
      <w:r>
        <w:t>Réduction des retries applicatifs et des timeouts en diminuant les dépendances synchrones non essentielles.</w:t>
      </w:r>
    </w:p>
    <w:p w14:paraId="3F43625B" w14:textId="77777777" w:rsidR="00A32BDF" w:rsidRDefault="00000000">
      <w:pPr>
        <w:ind w:left="397" w:hanging="198"/>
      </w:pPr>
      <w:r>
        <w:rPr>
          <w:b/>
        </w:rPr>
        <w:t xml:space="preserve">• </w:t>
      </w:r>
      <w:r>
        <w:t>Réduction de la verbosité des logs, des doublons de traces et des rétentions excessives.</w:t>
      </w:r>
    </w:p>
    <w:p w14:paraId="17211780" w14:textId="77777777" w:rsidR="00A32BDF" w:rsidRDefault="00000000">
      <w:pPr>
        <w:ind w:left="397" w:hanging="198"/>
      </w:pPr>
      <w:r>
        <w:rPr>
          <w:b/>
        </w:rPr>
        <w:t xml:space="preserve">• </w:t>
      </w:r>
      <w:r>
        <w:t>Découplage événementiel des traitements non critiques hors du chemin de paiement synchrone.</w:t>
      </w:r>
    </w:p>
    <w:p w14:paraId="6B8F4631" w14:textId="77777777" w:rsidR="00A32BDF" w:rsidRDefault="00000000">
      <w:pPr>
        <w:ind w:left="397" w:hanging="198"/>
      </w:pPr>
      <w:r>
        <w:rPr>
          <w:b/>
        </w:rPr>
        <w:t xml:space="preserve">• </w:t>
      </w:r>
      <w:r>
        <w:t>Ordonnancement des batchs, exports et entraînements hors fenêtres de pointe et, quand c’est pertinent, sur des créneaux moins carbonés.</w:t>
      </w:r>
    </w:p>
    <w:p w14:paraId="7284A495" w14:textId="77777777" w:rsidR="00A32BDF" w:rsidRDefault="00000000">
      <w:pPr>
        <w:ind w:left="397" w:hanging="198"/>
      </w:pPr>
      <w:r>
        <w:rPr>
          <w:b/>
        </w:rPr>
        <w:t xml:space="preserve">• </w:t>
      </w:r>
      <w:r>
        <w:t>Priorisation d’un PRA plus froid ou scale-to-zero pour limiter la consommation de ressources idle.</w:t>
      </w:r>
    </w:p>
    <w:p w14:paraId="65AADFCA" w14:textId="77777777" w:rsidR="00A32BDF" w:rsidRDefault="00000000">
      <w:pPr>
        <w:ind w:left="397" w:hanging="198"/>
      </w:pPr>
      <w:r>
        <w:rPr>
          <w:b/>
        </w:rPr>
        <w:t xml:space="preserve">• </w:t>
      </w:r>
      <w:r>
        <w:t>Rationalisation des modèles IA, recours à des modèles plus petits ou distillés et déclenchement sélectif des modèles avancés.</w:t>
      </w:r>
    </w:p>
    <w:p w14:paraId="6758255E" w14:textId="77777777" w:rsidR="00A32BDF" w:rsidRDefault="00000000">
      <w:r>
        <w:t>Google recommande explicitement des stratégies de type cold DR, scale-to-zero et serverless failover pour réduire l’empreinte des ressources inactives. Dans les environnements paiements, ces recommandations doivent être adaptées au niveau d’exigence 24/7, mais elles restent très utiles pour les couches non critiques, les environnements de test, les endpoints de reprise ou certains traitements analytiques.[32]</w:t>
      </w:r>
    </w:p>
    <w:p w14:paraId="3B9E70F3" w14:textId="77777777" w:rsidR="00A32BDF" w:rsidRDefault="00000000">
      <w:r>
        <w:t xml:space="preserve">Il est prudent de présenter les gains attendus comme des cibles internes sous hypothèses. Selon le niveau de gaspillage initial, une DSI peut viser rapidement une baisse sensible des ressources idle, des environnements </w:t>
      </w:r>
      <w:r>
        <w:lastRenderedPageBreak/>
        <w:t>inutiles, des retries et des volumes de logs. En revanche, il ne faut pas annoncer un pourcentage de réduction d’empreinte du SI comme vérité universelle sans baseline et sans périmètre explicites.</w:t>
      </w:r>
    </w:p>
    <w:p w14:paraId="485FE009" w14:textId="77777777" w:rsidR="00A32BDF" w:rsidRDefault="00000000">
      <w:pPr>
        <w:pStyle w:val="Titre1"/>
      </w:pPr>
      <w:r>
        <w:t>10. Feuille de route DSI sur 12 à 18 mois</w:t>
      </w:r>
    </w:p>
    <w:tbl>
      <w:tblPr>
        <w:tblW w:w="0" w:type="auto"/>
        <w:jc w:val="center"/>
        <w:tblLayout w:type="fixed"/>
        <w:tblLook w:val="04A0" w:firstRow="1" w:lastRow="0" w:firstColumn="1" w:lastColumn="0" w:noHBand="0" w:noVBand="1"/>
      </w:tblPr>
      <w:tblGrid>
        <w:gridCol w:w="2465"/>
        <w:gridCol w:w="2465"/>
        <w:gridCol w:w="3458"/>
        <w:gridCol w:w="2465"/>
      </w:tblGrid>
      <w:tr w:rsidR="00A32BDF" w14:paraId="14CCF1DB" w14:textId="77777777">
        <w:trPr>
          <w:tblHeader/>
          <w:jc w:val="center"/>
        </w:trPr>
        <w:tc>
          <w:tcPr>
            <w:tcW w:w="1134" w:type="dxa"/>
            <w:shd w:val="clear" w:color="auto" w:fill="D9EAF7"/>
            <w:tcMar>
              <w:top w:w="80" w:type="dxa"/>
              <w:left w:w="90" w:type="dxa"/>
              <w:bottom w:w="80" w:type="dxa"/>
              <w:right w:w="90" w:type="dxa"/>
            </w:tcMar>
          </w:tcPr>
          <w:p w14:paraId="2122973B" w14:textId="77777777" w:rsidR="00A32BDF" w:rsidRDefault="00000000">
            <w:pPr>
              <w:pStyle w:val="TableText"/>
              <w:jc w:val="center"/>
            </w:pPr>
            <w:r>
              <w:rPr>
                <w:b/>
              </w:rPr>
              <w:t>Phase</w:t>
            </w:r>
          </w:p>
        </w:tc>
        <w:tc>
          <w:tcPr>
            <w:tcW w:w="2268" w:type="dxa"/>
            <w:shd w:val="clear" w:color="auto" w:fill="D9EAF7"/>
            <w:tcMar>
              <w:top w:w="80" w:type="dxa"/>
              <w:left w:w="90" w:type="dxa"/>
              <w:bottom w:w="80" w:type="dxa"/>
              <w:right w:w="90" w:type="dxa"/>
            </w:tcMar>
          </w:tcPr>
          <w:p w14:paraId="471083BB" w14:textId="77777777" w:rsidR="00A32BDF" w:rsidRDefault="00000000">
            <w:pPr>
              <w:pStyle w:val="TableText"/>
              <w:jc w:val="center"/>
            </w:pPr>
            <w:r>
              <w:rPr>
                <w:b/>
              </w:rPr>
              <w:t>Objectif</w:t>
            </w:r>
          </w:p>
        </w:tc>
        <w:tc>
          <w:tcPr>
            <w:tcW w:w="3458" w:type="dxa"/>
            <w:shd w:val="clear" w:color="auto" w:fill="D9EAF7"/>
            <w:tcMar>
              <w:top w:w="80" w:type="dxa"/>
              <w:left w:w="90" w:type="dxa"/>
              <w:bottom w:w="80" w:type="dxa"/>
              <w:right w:w="90" w:type="dxa"/>
            </w:tcMar>
          </w:tcPr>
          <w:p w14:paraId="5F9A79D8" w14:textId="77777777" w:rsidR="00A32BDF" w:rsidRDefault="00000000">
            <w:pPr>
              <w:pStyle w:val="TableText"/>
              <w:jc w:val="center"/>
            </w:pPr>
            <w:r>
              <w:rPr>
                <w:b/>
              </w:rPr>
              <w:t>Livrables</w:t>
            </w:r>
          </w:p>
        </w:tc>
        <w:tc>
          <w:tcPr>
            <w:tcW w:w="2381" w:type="dxa"/>
            <w:shd w:val="clear" w:color="auto" w:fill="D9EAF7"/>
            <w:tcMar>
              <w:top w:w="80" w:type="dxa"/>
              <w:left w:w="90" w:type="dxa"/>
              <w:bottom w:w="80" w:type="dxa"/>
              <w:right w:w="90" w:type="dxa"/>
            </w:tcMar>
          </w:tcPr>
          <w:p w14:paraId="4441364D" w14:textId="77777777" w:rsidR="00A32BDF" w:rsidRDefault="00000000">
            <w:pPr>
              <w:pStyle w:val="TableText"/>
              <w:jc w:val="center"/>
            </w:pPr>
            <w:r>
              <w:rPr>
                <w:b/>
              </w:rPr>
              <w:t>Indicateurs de succès</w:t>
            </w:r>
          </w:p>
        </w:tc>
      </w:tr>
      <w:tr w:rsidR="00A32BDF" w14:paraId="7AC5B77E" w14:textId="77777777">
        <w:trPr>
          <w:jc w:val="center"/>
        </w:trPr>
        <w:tc>
          <w:tcPr>
            <w:tcW w:w="2465" w:type="dxa"/>
            <w:tcMar>
              <w:top w:w="80" w:type="dxa"/>
              <w:left w:w="90" w:type="dxa"/>
              <w:bottom w:w="80" w:type="dxa"/>
              <w:right w:w="90" w:type="dxa"/>
            </w:tcMar>
            <w:vAlign w:val="center"/>
          </w:tcPr>
          <w:p w14:paraId="156715C9" w14:textId="77777777" w:rsidR="00A32BDF" w:rsidRDefault="00000000">
            <w:pPr>
              <w:pStyle w:val="TableText"/>
            </w:pPr>
            <w:r>
              <w:t>Phase 1</w:t>
            </w:r>
            <w:r>
              <w:br/>
              <w:t>0-3 mois</w:t>
            </w:r>
          </w:p>
        </w:tc>
        <w:tc>
          <w:tcPr>
            <w:tcW w:w="2465" w:type="dxa"/>
            <w:tcMar>
              <w:top w:w="80" w:type="dxa"/>
              <w:left w:w="90" w:type="dxa"/>
              <w:bottom w:w="80" w:type="dxa"/>
              <w:right w:w="90" w:type="dxa"/>
            </w:tcMar>
            <w:vAlign w:val="center"/>
          </w:tcPr>
          <w:p w14:paraId="2EBB6E7A" w14:textId="77777777" w:rsidR="00A32BDF" w:rsidRDefault="00000000">
            <w:pPr>
              <w:pStyle w:val="TableText"/>
            </w:pPr>
            <w:r>
              <w:t>Baseline et cartographie</w:t>
            </w:r>
          </w:p>
        </w:tc>
        <w:tc>
          <w:tcPr>
            <w:tcW w:w="2465" w:type="dxa"/>
            <w:tcMar>
              <w:top w:w="80" w:type="dxa"/>
              <w:left w:w="90" w:type="dxa"/>
              <w:bottom w:w="80" w:type="dxa"/>
              <w:right w:w="90" w:type="dxa"/>
            </w:tcMar>
            <w:vAlign w:val="center"/>
          </w:tcPr>
          <w:p w14:paraId="678A0979" w14:textId="77777777" w:rsidR="00A32BDF" w:rsidRDefault="00000000">
            <w:pPr>
              <w:pStyle w:val="TableText"/>
            </w:pPr>
            <w:r>
              <w:t>Cartographie des flux, des composants, des régions, des environnements, des coûts et des émissions ; définition des unités métier à piloter</w:t>
            </w:r>
          </w:p>
        </w:tc>
        <w:tc>
          <w:tcPr>
            <w:tcW w:w="2465" w:type="dxa"/>
            <w:tcMar>
              <w:top w:w="80" w:type="dxa"/>
              <w:left w:w="90" w:type="dxa"/>
              <w:bottom w:w="80" w:type="dxa"/>
              <w:right w:w="90" w:type="dxa"/>
            </w:tcMar>
            <w:vAlign w:val="center"/>
          </w:tcPr>
          <w:p w14:paraId="359A47EA" w14:textId="77777777" w:rsidR="00A32BDF" w:rsidRDefault="00000000">
            <w:pPr>
              <w:pStyle w:val="TableText"/>
            </w:pPr>
            <w:r>
              <w:t>premier tableau de bord ; top 10 émetteurs ; top 10 workloads critiques</w:t>
            </w:r>
          </w:p>
        </w:tc>
      </w:tr>
      <w:tr w:rsidR="00A32BDF" w14:paraId="23386AD8" w14:textId="77777777">
        <w:trPr>
          <w:jc w:val="center"/>
        </w:trPr>
        <w:tc>
          <w:tcPr>
            <w:tcW w:w="2465" w:type="dxa"/>
            <w:tcMar>
              <w:top w:w="80" w:type="dxa"/>
              <w:left w:w="90" w:type="dxa"/>
              <w:bottom w:w="80" w:type="dxa"/>
              <w:right w:w="90" w:type="dxa"/>
            </w:tcMar>
            <w:vAlign w:val="center"/>
          </w:tcPr>
          <w:p w14:paraId="0E1D54A9" w14:textId="77777777" w:rsidR="00A32BDF" w:rsidRDefault="00000000">
            <w:pPr>
              <w:pStyle w:val="TableText"/>
            </w:pPr>
            <w:r>
              <w:t>Phase 2</w:t>
            </w:r>
            <w:r>
              <w:br/>
              <w:t>2-6 mois</w:t>
            </w:r>
          </w:p>
        </w:tc>
        <w:tc>
          <w:tcPr>
            <w:tcW w:w="2465" w:type="dxa"/>
            <w:tcMar>
              <w:top w:w="80" w:type="dxa"/>
              <w:left w:w="90" w:type="dxa"/>
              <w:bottom w:w="80" w:type="dxa"/>
              <w:right w:w="90" w:type="dxa"/>
            </w:tcMar>
            <w:vAlign w:val="center"/>
          </w:tcPr>
          <w:p w14:paraId="1645A2DA" w14:textId="77777777" w:rsidR="00A32BDF" w:rsidRDefault="00000000">
            <w:pPr>
              <w:pStyle w:val="TableText"/>
            </w:pPr>
            <w:r>
              <w:t>Gouvernance et instrumentation</w:t>
            </w:r>
          </w:p>
        </w:tc>
        <w:tc>
          <w:tcPr>
            <w:tcW w:w="2465" w:type="dxa"/>
            <w:tcMar>
              <w:top w:w="80" w:type="dxa"/>
              <w:left w:w="90" w:type="dxa"/>
              <w:bottom w:w="80" w:type="dxa"/>
              <w:right w:w="90" w:type="dxa"/>
            </w:tcMar>
            <w:vAlign w:val="center"/>
          </w:tcPr>
          <w:p w14:paraId="0885354E" w14:textId="77777777" w:rsidR="00A32BDF" w:rsidRDefault="00000000">
            <w:pPr>
              <w:pStyle w:val="TableText"/>
            </w:pPr>
            <w:r>
              <w:t>RACI DSI/RSE/ops/architecture ; instrumentation Kepler/Prometheus ou équivalent ; collecte cloud native ; référentiel GreenOps</w:t>
            </w:r>
          </w:p>
        </w:tc>
        <w:tc>
          <w:tcPr>
            <w:tcW w:w="2465" w:type="dxa"/>
            <w:tcMar>
              <w:top w:w="80" w:type="dxa"/>
              <w:left w:w="90" w:type="dxa"/>
              <w:bottom w:w="80" w:type="dxa"/>
              <w:right w:w="90" w:type="dxa"/>
            </w:tcMar>
            <w:vAlign w:val="center"/>
          </w:tcPr>
          <w:p w14:paraId="795A95F9" w14:textId="77777777" w:rsidR="00A32BDF" w:rsidRDefault="00000000">
            <w:pPr>
              <w:pStyle w:val="TableText"/>
            </w:pPr>
            <w:r>
              <w:t>données mensuelles stables ; premières allocations par produit ou service</w:t>
            </w:r>
          </w:p>
        </w:tc>
      </w:tr>
      <w:tr w:rsidR="00A32BDF" w14:paraId="599981F9" w14:textId="77777777">
        <w:trPr>
          <w:jc w:val="center"/>
        </w:trPr>
        <w:tc>
          <w:tcPr>
            <w:tcW w:w="2465" w:type="dxa"/>
            <w:tcMar>
              <w:top w:w="80" w:type="dxa"/>
              <w:left w:w="90" w:type="dxa"/>
              <w:bottom w:w="80" w:type="dxa"/>
              <w:right w:w="90" w:type="dxa"/>
            </w:tcMar>
            <w:vAlign w:val="center"/>
          </w:tcPr>
          <w:p w14:paraId="46679DD6" w14:textId="77777777" w:rsidR="00A32BDF" w:rsidRDefault="00000000">
            <w:pPr>
              <w:pStyle w:val="TableText"/>
            </w:pPr>
            <w:r>
              <w:t>Phase 3</w:t>
            </w:r>
            <w:r>
              <w:br/>
              <w:t>4-12 mois</w:t>
            </w:r>
          </w:p>
        </w:tc>
        <w:tc>
          <w:tcPr>
            <w:tcW w:w="2465" w:type="dxa"/>
            <w:tcMar>
              <w:top w:w="80" w:type="dxa"/>
              <w:left w:w="90" w:type="dxa"/>
              <w:bottom w:w="80" w:type="dxa"/>
              <w:right w:w="90" w:type="dxa"/>
            </w:tcMar>
            <w:vAlign w:val="center"/>
          </w:tcPr>
          <w:p w14:paraId="101EEB85" w14:textId="77777777" w:rsidR="00A32BDF" w:rsidRDefault="00000000">
            <w:pPr>
              <w:pStyle w:val="TableText"/>
            </w:pPr>
            <w:r>
              <w:t>Quick wins et refactoring ciblé</w:t>
            </w:r>
          </w:p>
        </w:tc>
        <w:tc>
          <w:tcPr>
            <w:tcW w:w="2465" w:type="dxa"/>
            <w:tcMar>
              <w:top w:w="80" w:type="dxa"/>
              <w:left w:w="90" w:type="dxa"/>
              <w:bottom w:w="80" w:type="dxa"/>
              <w:right w:w="90" w:type="dxa"/>
            </w:tcMar>
            <w:vAlign w:val="center"/>
          </w:tcPr>
          <w:p w14:paraId="0D3DF974" w14:textId="77777777" w:rsidR="00A32BDF" w:rsidRDefault="00000000">
            <w:pPr>
              <w:pStyle w:val="TableText"/>
            </w:pPr>
            <w:r>
              <w:t>arrêt dev/test, right-sizing, réduction des logs, réduction des retries, découplage asynchrone, premiers arbitrages IA frugale</w:t>
            </w:r>
          </w:p>
        </w:tc>
        <w:tc>
          <w:tcPr>
            <w:tcW w:w="2465" w:type="dxa"/>
            <w:tcMar>
              <w:top w:w="80" w:type="dxa"/>
              <w:left w:w="90" w:type="dxa"/>
              <w:bottom w:w="80" w:type="dxa"/>
              <w:right w:w="90" w:type="dxa"/>
            </w:tcMar>
            <w:vAlign w:val="center"/>
          </w:tcPr>
          <w:p w14:paraId="1D978A18" w14:textId="77777777" w:rsidR="00A32BDF" w:rsidRDefault="00000000">
            <w:pPr>
              <w:pStyle w:val="TableText"/>
            </w:pPr>
            <w:r>
              <w:t>baisse mesurable des ressources idle et amélioration de la latence / du coût</w:t>
            </w:r>
          </w:p>
        </w:tc>
      </w:tr>
      <w:tr w:rsidR="00A32BDF" w14:paraId="2D0B1A7C" w14:textId="77777777">
        <w:trPr>
          <w:jc w:val="center"/>
        </w:trPr>
        <w:tc>
          <w:tcPr>
            <w:tcW w:w="2465" w:type="dxa"/>
            <w:tcMar>
              <w:top w:w="80" w:type="dxa"/>
              <w:left w:w="90" w:type="dxa"/>
              <w:bottom w:w="80" w:type="dxa"/>
              <w:right w:w="90" w:type="dxa"/>
            </w:tcMar>
            <w:vAlign w:val="center"/>
          </w:tcPr>
          <w:p w14:paraId="711C23B1" w14:textId="77777777" w:rsidR="00A32BDF" w:rsidRDefault="00000000">
            <w:pPr>
              <w:pStyle w:val="TableText"/>
            </w:pPr>
            <w:r>
              <w:t>Phase 4</w:t>
            </w:r>
            <w:r>
              <w:br/>
              <w:t>9-18 mois</w:t>
            </w:r>
          </w:p>
        </w:tc>
        <w:tc>
          <w:tcPr>
            <w:tcW w:w="2465" w:type="dxa"/>
            <w:tcMar>
              <w:top w:w="80" w:type="dxa"/>
              <w:left w:w="90" w:type="dxa"/>
              <w:bottom w:w="80" w:type="dxa"/>
              <w:right w:w="90" w:type="dxa"/>
            </w:tcMar>
            <w:vAlign w:val="center"/>
          </w:tcPr>
          <w:p w14:paraId="5F922F44" w14:textId="77777777" w:rsidR="00A32BDF" w:rsidRDefault="00000000">
            <w:pPr>
              <w:pStyle w:val="TableText"/>
            </w:pPr>
            <w:r>
              <w:t>Industrialisation</w:t>
            </w:r>
          </w:p>
        </w:tc>
        <w:tc>
          <w:tcPr>
            <w:tcW w:w="2465" w:type="dxa"/>
            <w:tcMar>
              <w:top w:w="80" w:type="dxa"/>
              <w:left w:w="90" w:type="dxa"/>
              <w:bottom w:w="80" w:type="dxa"/>
              <w:right w:w="90" w:type="dxa"/>
            </w:tcMar>
            <w:vAlign w:val="center"/>
          </w:tcPr>
          <w:p w14:paraId="062C2830" w14:textId="77777777" w:rsidR="00A32BDF" w:rsidRDefault="00000000">
            <w:pPr>
              <w:pStyle w:val="TableText"/>
            </w:pPr>
            <w:r>
              <w:t>KPI par transaction, pilotage budgétaire et carbone par domaine, intégration DORA / résilience / GreenOps dans les comités</w:t>
            </w:r>
          </w:p>
        </w:tc>
        <w:tc>
          <w:tcPr>
            <w:tcW w:w="2465" w:type="dxa"/>
            <w:tcMar>
              <w:top w:w="80" w:type="dxa"/>
              <w:left w:w="90" w:type="dxa"/>
              <w:bottom w:w="80" w:type="dxa"/>
              <w:right w:w="90" w:type="dxa"/>
            </w:tcMar>
            <w:vAlign w:val="center"/>
          </w:tcPr>
          <w:p w14:paraId="670E5CCD" w14:textId="77777777" w:rsidR="00A32BDF" w:rsidRDefault="00000000">
            <w:pPr>
              <w:pStyle w:val="TableText"/>
            </w:pPr>
            <w:r>
              <w:t>tableau de bord industrialisé, boucle d’amélioration trimestrielle, indicateurs métier/carbone stabilisés</w:t>
            </w:r>
          </w:p>
        </w:tc>
      </w:tr>
    </w:tbl>
    <w:p w14:paraId="1E03E41C" w14:textId="77777777" w:rsidR="00A32BDF" w:rsidRDefault="00000000">
      <w:r>
        <w:t>Le label Numérique Responsable, un diagnostic type benchmark ou ACV SI, et l’utilisation d’un référentiel public comme le RGESN constituent d’excellents accélérateurs pour la phase amont. Pour une banque ou un assureur, le bon enchaînement consiste à commencer par une baseline crédible, puis à créer un système de pilotage, avant d’annoncer des objectifs de réduction.[4][27][28]</w:t>
      </w:r>
    </w:p>
    <w:p w14:paraId="1652D094" w14:textId="77777777" w:rsidR="00A32BDF" w:rsidRDefault="00000000">
      <w:r>
        <w:t>La cible à 12-18 mois n’est pas de “tout mesurer parfaitement”, mais d’atteindre un niveau managé : quelques indicateurs robustes, une allocation par domaine ou service, une boucle d’arbitrage architecture/exploitation et une capacité à décider sur données plutôt que sur intuition.</w:t>
      </w:r>
    </w:p>
    <w:p w14:paraId="02187F68" w14:textId="77777777" w:rsidR="00A32BDF" w:rsidRDefault="00000000">
      <w:pPr>
        <w:pStyle w:val="Titre1"/>
      </w:pPr>
      <w:r>
        <w:t>11. Conclusion</w:t>
      </w:r>
    </w:p>
    <w:p w14:paraId="00DC70C2" w14:textId="77777777" w:rsidR="00A32BDF" w:rsidRDefault="00000000">
      <w:r>
        <w:t>Le numérique responsable appliqué aux paiements ne doit pas être compris comme une couche supplémentaire de reporting ; il doit être compris comme une manière plus rigoureuse de concevoir et d’exploiter les flux. Un service de paiement bien architecturé consomme moins de ressources inutiles, supporte mieux les pointes, produit moins de reprises, offre une meilleure résilience et permet un pilotage plus clair des coûts et des risques.</w:t>
      </w:r>
    </w:p>
    <w:p w14:paraId="23DE69E5" w14:textId="77777777" w:rsidR="00A32BDF" w:rsidRDefault="00000000">
      <w:r>
        <w:t>La recherche opérationnelle joue ici un rôle central, car elle fournit le langage et les méthodes pour arbitrer sous contraintes : capacité, délai, liquidité, énergie, émission, coût, fraude. C’est ce qui rend le sujet particulièrement pertinent pour un architecte solution ou une DSI paiements : il ne s’agit pas seulement de “faire plus vert”, mais de rendre le système objectivement meilleur.</w:t>
      </w:r>
    </w:p>
    <w:p w14:paraId="26912F22" w14:textId="77777777" w:rsidR="00A32BDF" w:rsidRDefault="00000000">
      <w:r>
        <w:t>La trajectoire recommandée est donc la suivante : mesurer modestement mais correctement, normaliser les émissions par unité métier, traiter en priorité les gaspillages d’exploitation, refactorer le chemin synchrone des flux critiques, encadrer l’IA par une logique de proportionnalité, et installer durablement un pilotage GreenOps aligné avec les objectifs de résilience et de performance.[17][18][19]</w:t>
      </w:r>
    </w:p>
    <w:p w14:paraId="2AC9F3D9" w14:textId="77777777" w:rsidR="00A32BDF" w:rsidRDefault="00000000">
      <w:r>
        <w:br w:type="page"/>
      </w:r>
    </w:p>
    <w:p w14:paraId="209C886A" w14:textId="77777777" w:rsidR="00A32BDF" w:rsidRDefault="00000000">
      <w:pPr>
        <w:pStyle w:val="Titre1"/>
      </w:pPr>
      <w:r>
        <w:lastRenderedPageBreak/>
        <w:t>Annexe A. Pack KPI et tableau de pilotage</w:t>
      </w:r>
    </w:p>
    <w:p w14:paraId="302A0BA9" w14:textId="77777777" w:rsidR="00A32BDF" w:rsidRDefault="00000000">
      <w:r>
        <w:t>Le tableau ci-dessous propose un noyau de KPI suffisamment robuste pour être exploitable par une DSI paiements sans tomber dans une inflation métrique. L’objectif est de disposer d’un pack court, actionnable et directement rattaché aux arbitrages d’architecture et d’exploitation.</w:t>
      </w:r>
    </w:p>
    <w:tbl>
      <w:tblPr>
        <w:tblW w:w="0" w:type="auto"/>
        <w:jc w:val="center"/>
        <w:tblLayout w:type="fixed"/>
        <w:tblLook w:val="04A0" w:firstRow="1" w:lastRow="0" w:firstColumn="1" w:lastColumn="0" w:noHBand="0" w:noVBand="1"/>
      </w:tblPr>
      <w:tblGrid>
        <w:gridCol w:w="2608"/>
        <w:gridCol w:w="1972"/>
        <w:gridCol w:w="1972"/>
        <w:gridCol w:w="3402"/>
        <w:gridCol w:w="1972"/>
      </w:tblGrid>
      <w:tr w:rsidR="00A32BDF" w14:paraId="3EDA6A18" w14:textId="77777777">
        <w:trPr>
          <w:tblHeader/>
          <w:jc w:val="center"/>
        </w:trPr>
        <w:tc>
          <w:tcPr>
            <w:tcW w:w="2608" w:type="dxa"/>
            <w:shd w:val="clear" w:color="auto" w:fill="D9EAF7"/>
            <w:tcMar>
              <w:top w:w="80" w:type="dxa"/>
              <w:left w:w="90" w:type="dxa"/>
              <w:bottom w:w="80" w:type="dxa"/>
              <w:right w:w="90" w:type="dxa"/>
            </w:tcMar>
          </w:tcPr>
          <w:p w14:paraId="580E169E" w14:textId="77777777" w:rsidR="00A32BDF" w:rsidRDefault="00000000">
            <w:pPr>
              <w:pStyle w:val="TableText"/>
              <w:jc w:val="center"/>
            </w:pPr>
            <w:r>
              <w:rPr>
                <w:b/>
              </w:rPr>
              <w:t>KPI</w:t>
            </w:r>
          </w:p>
        </w:tc>
        <w:tc>
          <w:tcPr>
            <w:tcW w:w="1247" w:type="dxa"/>
            <w:shd w:val="clear" w:color="auto" w:fill="D9EAF7"/>
            <w:tcMar>
              <w:top w:w="80" w:type="dxa"/>
              <w:left w:w="90" w:type="dxa"/>
              <w:bottom w:w="80" w:type="dxa"/>
              <w:right w:w="90" w:type="dxa"/>
            </w:tcMar>
          </w:tcPr>
          <w:p w14:paraId="2F8680C8" w14:textId="77777777" w:rsidR="00A32BDF" w:rsidRDefault="00000000">
            <w:pPr>
              <w:pStyle w:val="TableText"/>
              <w:jc w:val="center"/>
            </w:pPr>
            <w:r>
              <w:rPr>
                <w:b/>
              </w:rPr>
              <w:t>Unité</w:t>
            </w:r>
          </w:p>
        </w:tc>
        <w:tc>
          <w:tcPr>
            <w:tcW w:w="1417" w:type="dxa"/>
            <w:shd w:val="clear" w:color="auto" w:fill="D9EAF7"/>
            <w:tcMar>
              <w:top w:w="80" w:type="dxa"/>
              <w:left w:w="90" w:type="dxa"/>
              <w:bottom w:w="80" w:type="dxa"/>
              <w:right w:w="90" w:type="dxa"/>
            </w:tcMar>
          </w:tcPr>
          <w:p w14:paraId="56073E7D" w14:textId="77777777" w:rsidR="00A32BDF" w:rsidRDefault="00000000">
            <w:pPr>
              <w:pStyle w:val="TableText"/>
              <w:jc w:val="center"/>
            </w:pPr>
            <w:r>
              <w:rPr>
                <w:b/>
              </w:rPr>
              <w:t>Niveau</w:t>
            </w:r>
          </w:p>
        </w:tc>
        <w:tc>
          <w:tcPr>
            <w:tcW w:w="3402" w:type="dxa"/>
            <w:shd w:val="clear" w:color="auto" w:fill="D9EAF7"/>
            <w:tcMar>
              <w:top w:w="80" w:type="dxa"/>
              <w:left w:w="90" w:type="dxa"/>
              <w:bottom w:w="80" w:type="dxa"/>
              <w:right w:w="90" w:type="dxa"/>
            </w:tcMar>
          </w:tcPr>
          <w:p w14:paraId="6EF52656" w14:textId="77777777" w:rsidR="00A32BDF" w:rsidRDefault="00000000">
            <w:pPr>
              <w:pStyle w:val="TableText"/>
              <w:jc w:val="center"/>
            </w:pPr>
            <w:r>
              <w:rPr>
                <w:b/>
              </w:rPr>
              <w:t>Usage</w:t>
            </w:r>
          </w:p>
        </w:tc>
        <w:tc>
          <w:tcPr>
            <w:tcW w:w="1134" w:type="dxa"/>
            <w:shd w:val="clear" w:color="auto" w:fill="D9EAF7"/>
            <w:tcMar>
              <w:top w:w="80" w:type="dxa"/>
              <w:left w:w="90" w:type="dxa"/>
              <w:bottom w:w="80" w:type="dxa"/>
              <w:right w:w="90" w:type="dxa"/>
            </w:tcMar>
          </w:tcPr>
          <w:p w14:paraId="4DCCA4C8" w14:textId="77777777" w:rsidR="00A32BDF" w:rsidRDefault="00000000">
            <w:pPr>
              <w:pStyle w:val="TableText"/>
              <w:jc w:val="center"/>
            </w:pPr>
            <w:r>
              <w:rPr>
                <w:b/>
              </w:rPr>
              <w:t>Cadence</w:t>
            </w:r>
          </w:p>
        </w:tc>
      </w:tr>
      <w:tr w:rsidR="00A32BDF" w14:paraId="4A4D4210" w14:textId="77777777">
        <w:trPr>
          <w:jc w:val="center"/>
        </w:trPr>
        <w:tc>
          <w:tcPr>
            <w:tcW w:w="1972" w:type="dxa"/>
            <w:tcMar>
              <w:top w:w="75" w:type="dxa"/>
              <w:left w:w="90" w:type="dxa"/>
              <w:bottom w:w="75" w:type="dxa"/>
              <w:right w:w="90" w:type="dxa"/>
            </w:tcMar>
            <w:vAlign w:val="center"/>
          </w:tcPr>
          <w:p w14:paraId="5C24E199" w14:textId="77777777" w:rsidR="00A32BDF" w:rsidRDefault="00000000">
            <w:pPr>
              <w:pStyle w:val="TableText"/>
            </w:pPr>
            <w:r>
              <w:t>Disponibilité du service paiement</w:t>
            </w:r>
          </w:p>
        </w:tc>
        <w:tc>
          <w:tcPr>
            <w:tcW w:w="1972" w:type="dxa"/>
            <w:tcMar>
              <w:top w:w="75" w:type="dxa"/>
              <w:left w:w="90" w:type="dxa"/>
              <w:bottom w:w="75" w:type="dxa"/>
              <w:right w:w="90" w:type="dxa"/>
            </w:tcMar>
            <w:vAlign w:val="center"/>
          </w:tcPr>
          <w:p w14:paraId="0DEFA458" w14:textId="77777777" w:rsidR="00A32BDF" w:rsidRDefault="00000000">
            <w:pPr>
              <w:pStyle w:val="TableText"/>
            </w:pPr>
            <w:r>
              <w:t>%</w:t>
            </w:r>
          </w:p>
        </w:tc>
        <w:tc>
          <w:tcPr>
            <w:tcW w:w="1972" w:type="dxa"/>
            <w:tcMar>
              <w:top w:w="75" w:type="dxa"/>
              <w:left w:w="90" w:type="dxa"/>
              <w:bottom w:w="75" w:type="dxa"/>
              <w:right w:w="90" w:type="dxa"/>
            </w:tcMar>
            <w:vAlign w:val="center"/>
          </w:tcPr>
          <w:p w14:paraId="3D807DD0" w14:textId="77777777" w:rsidR="00A32BDF" w:rsidRDefault="00000000">
            <w:pPr>
              <w:pStyle w:val="TableText"/>
            </w:pPr>
            <w:r>
              <w:t>Service</w:t>
            </w:r>
          </w:p>
        </w:tc>
        <w:tc>
          <w:tcPr>
            <w:tcW w:w="1972" w:type="dxa"/>
            <w:tcMar>
              <w:top w:w="75" w:type="dxa"/>
              <w:left w:w="90" w:type="dxa"/>
              <w:bottom w:w="75" w:type="dxa"/>
              <w:right w:w="90" w:type="dxa"/>
            </w:tcMar>
            <w:vAlign w:val="center"/>
          </w:tcPr>
          <w:p w14:paraId="05677719" w14:textId="77777777" w:rsidR="00A32BDF" w:rsidRDefault="00000000">
            <w:pPr>
              <w:pStyle w:val="TableText"/>
            </w:pPr>
            <w:r>
              <w:t>pilotage de la continuité et de la conformité DORA</w:t>
            </w:r>
          </w:p>
        </w:tc>
        <w:tc>
          <w:tcPr>
            <w:tcW w:w="1972" w:type="dxa"/>
            <w:tcMar>
              <w:top w:w="75" w:type="dxa"/>
              <w:left w:w="90" w:type="dxa"/>
              <w:bottom w:w="75" w:type="dxa"/>
              <w:right w:w="90" w:type="dxa"/>
            </w:tcMar>
            <w:vAlign w:val="center"/>
          </w:tcPr>
          <w:p w14:paraId="6D50A816" w14:textId="77777777" w:rsidR="00A32BDF" w:rsidRDefault="00000000">
            <w:pPr>
              <w:pStyle w:val="TableText"/>
            </w:pPr>
            <w:r>
              <w:t>quotidien</w:t>
            </w:r>
          </w:p>
        </w:tc>
      </w:tr>
      <w:tr w:rsidR="00A32BDF" w14:paraId="468B7EBB" w14:textId="77777777">
        <w:trPr>
          <w:jc w:val="center"/>
        </w:trPr>
        <w:tc>
          <w:tcPr>
            <w:tcW w:w="1972" w:type="dxa"/>
            <w:tcMar>
              <w:top w:w="75" w:type="dxa"/>
              <w:left w:w="90" w:type="dxa"/>
              <w:bottom w:w="75" w:type="dxa"/>
              <w:right w:w="90" w:type="dxa"/>
            </w:tcMar>
            <w:vAlign w:val="center"/>
          </w:tcPr>
          <w:p w14:paraId="10EC3336" w14:textId="77777777" w:rsidR="00A32BDF" w:rsidRDefault="00000000">
            <w:pPr>
              <w:pStyle w:val="TableText"/>
            </w:pPr>
            <w:r>
              <w:t>Latence P95 / P99 SCT Inst</w:t>
            </w:r>
          </w:p>
        </w:tc>
        <w:tc>
          <w:tcPr>
            <w:tcW w:w="1972" w:type="dxa"/>
            <w:tcMar>
              <w:top w:w="75" w:type="dxa"/>
              <w:left w:w="90" w:type="dxa"/>
              <w:bottom w:w="75" w:type="dxa"/>
              <w:right w:w="90" w:type="dxa"/>
            </w:tcMar>
            <w:vAlign w:val="center"/>
          </w:tcPr>
          <w:p w14:paraId="50755876" w14:textId="77777777" w:rsidR="00A32BDF" w:rsidRDefault="00000000">
            <w:pPr>
              <w:pStyle w:val="TableText"/>
            </w:pPr>
            <w:r>
              <w:t>ms ou s</w:t>
            </w:r>
          </w:p>
        </w:tc>
        <w:tc>
          <w:tcPr>
            <w:tcW w:w="1972" w:type="dxa"/>
            <w:tcMar>
              <w:top w:w="75" w:type="dxa"/>
              <w:left w:w="90" w:type="dxa"/>
              <w:bottom w:w="75" w:type="dxa"/>
              <w:right w:w="90" w:type="dxa"/>
            </w:tcMar>
            <w:vAlign w:val="center"/>
          </w:tcPr>
          <w:p w14:paraId="40CF8966" w14:textId="77777777" w:rsidR="00A32BDF" w:rsidRDefault="00000000">
            <w:pPr>
              <w:pStyle w:val="TableText"/>
            </w:pPr>
            <w:r>
              <w:t>Flux</w:t>
            </w:r>
          </w:p>
        </w:tc>
        <w:tc>
          <w:tcPr>
            <w:tcW w:w="1972" w:type="dxa"/>
            <w:tcMar>
              <w:top w:w="75" w:type="dxa"/>
              <w:left w:w="90" w:type="dxa"/>
              <w:bottom w:w="75" w:type="dxa"/>
              <w:right w:w="90" w:type="dxa"/>
            </w:tcMar>
            <w:vAlign w:val="center"/>
          </w:tcPr>
          <w:p w14:paraId="74D6E26C" w14:textId="77777777" w:rsidR="00A32BDF" w:rsidRDefault="00000000">
            <w:pPr>
              <w:pStyle w:val="TableText"/>
            </w:pPr>
            <w:r>
              <w:t>contrôle du chemin critique et détection de dérive</w:t>
            </w:r>
          </w:p>
        </w:tc>
        <w:tc>
          <w:tcPr>
            <w:tcW w:w="1972" w:type="dxa"/>
            <w:tcMar>
              <w:top w:w="75" w:type="dxa"/>
              <w:left w:w="90" w:type="dxa"/>
              <w:bottom w:w="75" w:type="dxa"/>
              <w:right w:w="90" w:type="dxa"/>
            </w:tcMar>
            <w:vAlign w:val="center"/>
          </w:tcPr>
          <w:p w14:paraId="72B9374D" w14:textId="77777777" w:rsidR="00A32BDF" w:rsidRDefault="00000000">
            <w:pPr>
              <w:pStyle w:val="TableText"/>
            </w:pPr>
            <w:r>
              <w:t>temps réel</w:t>
            </w:r>
          </w:p>
        </w:tc>
      </w:tr>
      <w:tr w:rsidR="00A32BDF" w14:paraId="55BCB927" w14:textId="77777777">
        <w:trPr>
          <w:jc w:val="center"/>
        </w:trPr>
        <w:tc>
          <w:tcPr>
            <w:tcW w:w="1972" w:type="dxa"/>
            <w:tcMar>
              <w:top w:w="75" w:type="dxa"/>
              <w:left w:w="90" w:type="dxa"/>
              <w:bottom w:w="75" w:type="dxa"/>
              <w:right w:w="90" w:type="dxa"/>
            </w:tcMar>
            <w:vAlign w:val="center"/>
          </w:tcPr>
          <w:p w14:paraId="7089AC37" w14:textId="77777777" w:rsidR="00A32BDF" w:rsidRDefault="00000000">
            <w:pPr>
              <w:pStyle w:val="TableText"/>
            </w:pPr>
            <w:r>
              <w:t>Taux STP</w:t>
            </w:r>
          </w:p>
        </w:tc>
        <w:tc>
          <w:tcPr>
            <w:tcW w:w="1972" w:type="dxa"/>
            <w:tcMar>
              <w:top w:w="75" w:type="dxa"/>
              <w:left w:w="90" w:type="dxa"/>
              <w:bottom w:w="75" w:type="dxa"/>
              <w:right w:w="90" w:type="dxa"/>
            </w:tcMar>
            <w:vAlign w:val="center"/>
          </w:tcPr>
          <w:p w14:paraId="6CA0A37A" w14:textId="77777777" w:rsidR="00A32BDF" w:rsidRDefault="00000000">
            <w:pPr>
              <w:pStyle w:val="TableText"/>
            </w:pPr>
            <w:r>
              <w:t>%</w:t>
            </w:r>
          </w:p>
        </w:tc>
        <w:tc>
          <w:tcPr>
            <w:tcW w:w="1972" w:type="dxa"/>
            <w:tcMar>
              <w:top w:w="75" w:type="dxa"/>
              <w:left w:w="90" w:type="dxa"/>
              <w:bottom w:w="75" w:type="dxa"/>
              <w:right w:w="90" w:type="dxa"/>
            </w:tcMar>
            <w:vAlign w:val="center"/>
          </w:tcPr>
          <w:p w14:paraId="69AC75EE" w14:textId="77777777" w:rsidR="00A32BDF" w:rsidRDefault="00000000">
            <w:pPr>
              <w:pStyle w:val="TableText"/>
            </w:pPr>
            <w:r>
              <w:t>Processus</w:t>
            </w:r>
          </w:p>
        </w:tc>
        <w:tc>
          <w:tcPr>
            <w:tcW w:w="1972" w:type="dxa"/>
            <w:tcMar>
              <w:top w:w="75" w:type="dxa"/>
              <w:left w:w="90" w:type="dxa"/>
              <w:bottom w:w="75" w:type="dxa"/>
              <w:right w:w="90" w:type="dxa"/>
            </w:tcMar>
            <w:vAlign w:val="center"/>
          </w:tcPr>
          <w:p w14:paraId="183519FC" w14:textId="77777777" w:rsidR="00A32BDF" w:rsidRDefault="00000000">
            <w:pPr>
              <w:pStyle w:val="TableText"/>
            </w:pPr>
            <w:r>
              <w:t>mesure de qualité opérationnelle et des reprises</w:t>
            </w:r>
          </w:p>
        </w:tc>
        <w:tc>
          <w:tcPr>
            <w:tcW w:w="1972" w:type="dxa"/>
            <w:tcMar>
              <w:top w:w="75" w:type="dxa"/>
              <w:left w:w="90" w:type="dxa"/>
              <w:bottom w:w="75" w:type="dxa"/>
              <w:right w:w="90" w:type="dxa"/>
            </w:tcMar>
            <w:vAlign w:val="center"/>
          </w:tcPr>
          <w:p w14:paraId="483288F3" w14:textId="77777777" w:rsidR="00A32BDF" w:rsidRDefault="00000000">
            <w:pPr>
              <w:pStyle w:val="TableText"/>
            </w:pPr>
            <w:r>
              <w:t>quotidien</w:t>
            </w:r>
          </w:p>
        </w:tc>
      </w:tr>
      <w:tr w:rsidR="00A32BDF" w14:paraId="52CBB1FF" w14:textId="77777777">
        <w:trPr>
          <w:jc w:val="center"/>
        </w:trPr>
        <w:tc>
          <w:tcPr>
            <w:tcW w:w="1972" w:type="dxa"/>
            <w:tcMar>
              <w:top w:w="75" w:type="dxa"/>
              <w:left w:w="90" w:type="dxa"/>
              <w:bottom w:w="75" w:type="dxa"/>
              <w:right w:w="90" w:type="dxa"/>
            </w:tcMar>
            <w:vAlign w:val="center"/>
          </w:tcPr>
          <w:p w14:paraId="4417F611" w14:textId="77777777" w:rsidR="00A32BDF" w:rsidRDefault="00000000">
            <w:pPr>
              <w:pStyle w:val="TableText"/>
            </w:pPr>
            <w:r>
              <w:t>Taux de retry / timeout</w:t>
            </w:r>
          </w:p>
        </w:tc>
        <w:tc>
          <w:tcPr>
            <w:tcW w:w="1972" w:type="dxa"/>
            <w:tcMar>
              <w:top w:w="75" w:type="dxa"/>
              <w:left w:w="90" w:type="dxa"/>
              <w:bottom w:w="75" w:type="dxa"/>
              <w:right w:w="90" w:type="dxa"/>
            </w:tcMar>
            <w:vAlign w:val="center"/>
          </w:tcPr>
          <w:p w14:paraId="6647CF67" w14:textId="77777777" w:rsidR="00A32BDF" w:rsidRDefault="00000000">
            <w:pPr>
              <w:pStyle w:val="TableText"/>
            </w:pPr>
            <w:r>
              <w:t>%</w:t>
            </w:r>
          </w:p>
        </w:tc>
        <w:tc>
          <w:tcPr>
            <w:tcW w:w="1972" w:type="dxa"/>
            <w:tcMar>
              <w:top w:w="75" w:type="dxa"/>
              <w:left w:w="90" w:type="dxa"/>
              <w:bottom w:w="75" w:type="dxa"/>
              <w:right w:w="90" w:type="dxa"/>
            </w:tcMar>
            <w:vAlign w:val="center"/>
          </w:tcPr>
          <w:p w14:paraId="6BEC8B77" w14:textId="77777777" w:rsidR="00A32BDF" w:rsidRDefault="00000000">
            <w:pPr>
              <w:pStyle w:val="TableText"/>
            </w:pPr>
            <w:r>
              <w:t>Technique</w:t>
            </w:r>
          </w:p>
        </w:tc>
        <w:tc>
          <w:tcPr>
            <w:tcW w:w="1972" w:type="dxa"/>
            <w:tcMar>
              <w:top w:w="75" w:type="dxa"/>
              <w:left w:w="90" w:type="dxa"/>
              <w:bottom w:w="75" w:type="dxa"/>
              <w:right w:w="90" w:type="dxa"/>
            </w:tcMar>
            <w:vAlign w:val="center"/>
          </w:tcPr>
          <w:p w14:paraId="6CAF4765" w14:textId="77777777" w:rsidR="00A32BDF" w:rsidRDefault="00000000">
            <w:pPr>
              <w:pStyle w:val="TableText"/>
            </w:pPr>
            <w:r>
              <w:t>détection du gaspillage technique</w:t>
            </w:r>
          </w:p>
        </w:tc>
        <w:tc>
          <w:tcPr>
            <w:tcW w:w="1972" w:type="dxa"/>
            <w:tcMar>
              <w:top w:w="75" w:type="dxa"/>
              <w:left w:w="90" w:type="dxa"/>
              <w:bottom w:w="75" w:type="dxa"/>
              <w:right w:w="90" w:type="dxa"/>
            </w:tcMar>
            <w:vAlign w:val="center"/>
          </w:tcPr>
          <w:p w14:paraId="1B52CE94" w14:textId="77777777" w:rsidR="00A32BDF" w:rsidRDefault="00000000">
            <w:pPr>
              <w:pStyle w:val="TableText"/>
            </w:pPr>
            <w:r>
              <w:t>temps réel</w:t>
            </w:r>
          </w:p>
        </w:tc>
      </w:tr>
      <w:tr w:rsidR="00A32BDF" w14:paraId="3D7012B1" w14:textId="77777777">
        <w:trPr>
          <w:jc w:val="center"/>
        </w:trPr>
        <w:tc>
          <w:tcPr>
            <w:tcW w:w="1972" w:type="dxa"/>
            <w:tcMar>
              <w:top w:w="75" w:type="dxa"/>
              <w:left w:w="90" w:type="dxa"/>
              <w:bottom w:w="75" w:type="dxa"/>
              <w:right w:w="90" w:type="dxa"/>
            </w:tcMar>
            <w:vAlign w:val="center"/>
          </w:tcPr>
          <w:p w14:paraId="6B78603F" w14:textId="77777777" w:rsidR="00A32BDF" w:rsidRDefault="00000000">
            <w:pPr>
              <w:pStyle w:val="TableText"/>
            </w:pPr>
            <w:r>
              <w:t>Coût de run par 1 000 transactions</w:t>
            </w:r>
          </w:p>
        </w:tc>
        <w:tc>
          <w:tcPr>
            <w:tcW w:w="1972" w:type="dxa"/>
            <w:tcMar>
              <w:top w:w="75" w:type="dxa"/>
              <w:left w:w="90" w:type="dxa"/>
              <w:bottom w:w="75" w:type="dxa"/>
              <w:right w:w="90" w:type="dxa"/>
            </w:tcMar>
            <w:vAlign w:val="center"/>
          </w:tcPr>
          <w:p w14:paraId="04113E36" w14:textId="77777777" w:rsidR="00A32BDF" w:rsidRDefault="00000000">
            <w:pPr>
              <w:pStyle w:val="TableText"/>
            </w:pPr>
            <w:r>
              <w:t>€</w:t>
            </w:r>
          </w:p>
        </w:tc>
        <w:tc>
          <w:tcPr>
            <w:tcW w:w="1972" w:type="dxa"/>
            <w:tcMar>
              <w:top w:w="75" w:type="dxa"/>
              <w:left w:w="90" w:type="dxa"/>
              <w:bottom w:w="75" w:type="dxa"/>
              <w:right w:w="90" w:type="dxa"/>
            </w:tcMar>
            <w:vAlign w:val="center"/>
          </w:tcPr>
          <w:p w14:paraId="248C51B2" w14:textId="77777777" w:rsidR="00A32BDF" w:rsidRDefault="00000000">
            <w:pPr>
              <w:pStyle w:val="TableText"/>
            </w:pPr>
            <w:r>
              <w:t>Métier</w:t>
            </w:r>
          </w:p>
        </w:tc>
        <w:tc>
          <w:tcPr>
            <w:tcW w:w="1972" w:type="dxa"/>
            <w:tcMar>
              <w:top w:w="75" w:type="dxa"/>
              <w:left w:w="90" w:type="dxa"/>
              <w:bottom w:w="75" w:type="dxa"/>
              <w:right w:w="90" w:type="dxa"/>
            </w:tcMar>
            <w:vAlign w:val="center"/>
          </w:tcPr>
          <w:p w14:paraId="3626D65B" w14:textId="77777777" w:rsidR="00A32BDF" w:rsidRDefault="00000000">
            <w:pPr>
              <w:pStyle w:val="TableText"/>
            </w:pPr>
            <w:r>
              <w:t>lien coût / architecture / volumétrie</w:t>
            </w:r>
          </w:p>
        </w:tc>
        <w:tc>
          <w:tcPr>
            <w:tcW w:w="1972" w:type="dxa"/>
            <w:tcMar>
              <w:top w:w="75" w:type="dxa"/>
              <w:left w:w="90" w:type="dxa"/>
              <w:bottom w:w="75" w:type="dxa"/>
              <w:right w:w="90" w:type="dxa"/>
            </w:tcMar>
            <w:vAlign w:val="center"/>
          </w:tcPr>
          <w:p w14:paraId="0AFA3FD9" w14:textId="77777777" w:rsidR="00A32BDF" w:rsidRDefault="00000000">
            <w:pPr>
              <w:pStyle w:val="TableText"/>
            </w:pPr>
            <w:r>
              <w:t>mensuel</w:t>
            </w:r>
          </w:p>
        </w:tc>
      </w:tr>
      <w:tr w:rsidR="00A32BDF" w14:paraId="1BAE9133" w14:textId="77777777">
        <w:trPr>
          <w:jc w:val="center"/>
        </w:trPr>
        <w:tc>
          <w:tcPr>
            <w:tcW w:w="1972" w:type="dxa"/>
            <w:tcMar>
              <w:top w:w="75" w:type="dxa"/>
              <w:left w:w="90" w:type="dxa"/>
              <w:bottom w:w="75" w:type="dxa"/>
              <w:right w:w="90" w:type="dxa"/>
            </w:tcMar>
            <w:vAlign w:val="center"/>
          </w:tcPr>
          <w:p w14:paraId="0F89E63F" w14:textId="77777777" w:rsidR="00A32BDF" w:rsidRDefault="00000000">
            <w:pPr>
              <w:pStyle w:val="TableText"/>
            </w:pPr>
            <w:r>
              <w:t>Wh par 1 000 transactions</w:t>
            </w:r>
          </w:p>
        </w:tc>
        <w:tc>
          <w:tcPr>
            <w:tcW w:w="1972" w:type="dxa"/>
            <w:tcMar>
              <w:top w:w="75" w:type="dxa"/>
              <w:left w:w="90" w:type="dxa"/>
              <w:bottom w:w="75" w:type="dxa"/>
              <w:right w:w="90" w:type="dxa"/>
            </w:tcMar>
            <w:vAlign w:val="center"/>
          </w:tcPr>
          <w:p w14:paraId="3852BF7A" w14:textId="77777777" w:rsidR="00A32BDF" w:rsidRDefault="00000000">
            <w:pPr>
              <w:pStyle w:val="TableText"/>
            </w:pPr>
            <w:r>
              <w:t>Wh</w:t>
            </w:r>
          </w:p>
        </w:tc>
        <w:tc>
          <w:tcPr>
            <w:tcW w:w="1972" w:type="dxa"/>
            <w:tcMar>
              <w:top w:w="75" w:type="dxa"/>
              <w:left w:w="90" w:type="dxa"/>
              <w:bottom w:w="75" w:type="dxa"/>
              <w:right w:w="90" w:type="dxa"/>
            </w:tcMar>
            <w:vAlign w:val="center"/>
          </w:tcPr>
          <w:p w14:paraId="598874D3" w14:textId="77777777" w:rsidR="00A32BDF" w:rsidRDefault="00000000">
            <w:pPr>
              <w:pStyle w:val="TableText"/>
            </w:pPr>
            <w:r>
              <w:t>Métier</w:t>
            </w:r>
          </w:p>
        </w:tc>
        <w:tc>
          <w:tcPr>
            <w:tcW w:w="1972" w:type="dxa"/>
            <w:tcMar>
              <w:top w:w="75" w:type="dxa"/>
              <w:left w:w="90" w:type="dxa"/>
              <w:bottom w:w="75" w:type="dxa"/>
              <w:right w:w="90" w:type="dxa"/>
            </w:tcMar>
            <w:vAlign w:val="center"/>
          </w:tcPr>
          <w:p w14:paraId="62F6A3C2" w14:textId="77777777" w:rsidR="00A32BDF" w:rsidRDefault="00000000">
            <w:pPr>
              <w:pStyle w:val="TableText"/>
            </w:pPr>
            <w:r>
              <w:t>efficacité énergétique</w:t>
            </w:r>
          </w:p>
        </w:tc>
        <w:tc>
          <w:tcPr>
            <w:tcW w:w="1972" w:type="dxa"/>
            <w:tcMar>
              <w:top w:w="75" w:type="dxa"/>
              <w:left w:w="90" w:type="dxa"/>
              <w:bottom w:w="75" w:type="dxa"/>
              <w:right w:w="90" w:type="dxa"/>
            </w:tcMar>
            <w:vAlign w:val="center"/>
          </w:tcPr>
          <w:p w14:paraId="2AF532E7" w14:textId="77777777" w:rsidR="00A32BDF" w:rsidRDefault="00000000">
            <w:pPr>
              <w:pStyle w:val="TableText"/>
            </w:pPr>
            <w:r>
              <w:t>mensuel</w:t>
            </w:r>
          </w:p>
        </w:tc>
      </w:tr>
      <w:tr w:rsidR="00A32BDF" w14:paraId="242E920F" w14:textId="77777777">
        <w:trPr>
          <w:jc w:val="center"/>
        </w:trPr>
        <w:tc>
          <w:tcPr>
            <w:tcW w:w="1972" w:type="dxa"/>
            <w:tcMar>
              <w:top w:w="75" w:type="dxa"/>
              <w:left w:w="90" w:type="dxa"/>
              <w:bottom w:w="75" w:type="dxa"/>
              <w:right w:w="90" w:type="dxa"/>
            </w:tcMar>
            <w:vAlign w:val="center"/>
          </w:tcPr>
          <w:p w14:paraId="13051DBC" w14:textId="77777777" w:rsidR="00A32BDF" w:rsidRDefault="00000000">
            <w:pPr>
              <w:pStyle w:val="TableText"/>
            </w:pPr>
            <w:r>
              <w:t>gCO2e par SCT Inst</w:t>
            </w:r>
          </w:p>
        </w:tc>
        <w:tc>
          <w:tcPr>
            <w:tcW w:w="1972" w:type="dxa"/>
            <w:tcMar>
              <w:top w:w="75" w:type="dxa"/>
              <w:left w:w="90" w:type="dxa"/>
              <w:bottom w:w="75" w:type="dxa"/>
              <w:right w:w="90" w:type="dxa"/>
            </w:tcMar>
            <w:vAlign w:val="center"/>
          </w:tcPr>
          <w:p w14:paraId="46525E5C" w14:textId="77777777" w:rsidR="00A32BDF" w:rsidRDefault="00000000">
            <w:pPr>
              <w:pStyle w:val="TableText"/>
            </w:pPr>
            <w:r>
              <w:t>gCO2e</w:t>
            </w:r>
          </w:p>
        </w:tc>
        <w:tc>
          <w:tcPr>
            <w:tcW w:w="1972" w:type="dxa"/>
            <w:tcMar>
              <w:top w:w="75" w:type="dxa"/>
              <w:left w:w="90" w:type="dxa"/>
              <w:bottom w:w="75" w:type="dxa"/>
              <w:right w:w="90" w:type="dxa"/>
            </w:tcMar>
            <w:vAlign w:val="center"/>
          </w:tcPr>
          <w:p w14:paraId="60FAB793" w14:textId="77777777" w:rsidR="00A32BDF" w:rsidRDefault="00000000">
            <w:pPr>
              <w:pStyle w:val="TableText"/>
            </w:pPr>
            <w:r>
              <w:t>Métier</w:t>
            </w:r>
          </w:p>
        </w:tc>
        <w:tc>
          <w:tcPr>
            <w:tcW w:w="1972" w:type="dxa"/>
            <w:tcMar>
              <w:top w:w="75" w:type="dxa"/>
              <w:left w:w="90" w:type="dxa"/>
              <w:bottom w:w="75" w:type="dxa"/>
              <w:right w:w="90" w:type="dxa"/>
            </w:tcMar>
            <w:vAlign w:val="center"/>
          </w:tcPr>
          <w:p w14:paraId="0D617F89" w14:textId="77777777" w:rsidR="00A32BDF" w:rsidRDefault="00000000">
            <w:pPr>
              <w:pStyle w:val="TableText"/>
            </w:pPr>
            <w:r>
              <w:t>intensité carbone métier</w:t>
            </w:r>
          </w:p>
        </w:tc>
        <w:tc>
          <w:tcPr>
            <w:tcW w:w="1972" w:type="dxa"/>
            <w:tcMar>
              <w:top w:w="75" w:type="dxa"/>
              <w:left w:w="90" w:type="dxa"/>
              <w:bottom w:w="75" w:type="dxa"/>
              <w:right w:w="90" w:type="dxa"/>
            </w:tcMar>
            <w:vAlign w:val="center"/>
          </w:tcPr>
          <w:p w14:paraId="70666B48" w14:textId="77777777" w:rsidR="00A32BDF" w:rsidRDefault="00000000">
            <w:pPr>
              <w:pStyle w:val="TableText"/>
            </w:pPr>
            <w:r>
              <w:t>mensuel</w:t>
            </w:r>
          </w:p>
        </w:tc>
      </w:tr>
      <w:tr w:rsidR="00A32BDF" w14:paraId="6492E231" w14:textId="77777777">
        <w:trPr>
          <w:jc w:val="center"/>
        </w:trPr>
        <w:tc>
          <w:tcPr>
            <w:tcW w:w="1972" w:type="dxa"/>
            <w:tcMar>
              <w:top w:w="75" w:type="dxa"/>
              <w:left w:w="90" w:type="dxa"/>
              <w:bottom w:w="75" w:type="dxa"/>
              <w:right w:w="90" w:type="dxa"/>
            </w:tcMar>
            <w:vAlign w:val="center"/>
          </w:tcPr>
          <w:p w14:paraId="29A60851" w14:textId="77777777" w:rsidR="00A32BDF" w:rsidRDefault="00000000">
            <w:pPr>
              <w:pStyle w:val="TableText"/>
            </w:pPr>
            <w:r>
              <w:t>gCO2e par scoring fraude</w:t>
            </w:r>
          </w:p>
        </w:tc>
        <w:tc>
          <w:tcPr>
            <w:tcW w:w="1972" w:type="dxa"/>
            <w:tcMar>
              <w:top w:w="75" w:type="dxa"/>
              <w:left w:w="90" w:type="dxa"/>
              <w:bottom w:w="75" w:type="dxa"/>
              <w:right w:w="90" w:type="dxa"/>
            </w:tcMar>
            <w:vAlign w:val="center"/>
          </w:tcPr>
          <w:p w14:paraId="6199CE1C" w14:textId="77777777" w:rsidR="00A32BDF" w:rsidRDefault="00000000">
            <w:pPr>
              <w:pStyle w:val="TableText"/>
            </w:pPr>
            <w:r>
              <w:t>gCO2e</w:t>
            </w:r>
          </w:p>
        </w:tc>
        <w:tc>
          <w:tcPr>
            <w:tcW w:w="1972" w:type="dxa"/>
            <w:tcMar>
              <w:top w:w="75" w:type="dxa"/>
              <w:left w:w="90" w:type="dxa"/>
              <w:bottom w:w="75" w:type="dxa"/>
              <w:right w:w="90" w:type="dxa"/>
            </w:tcMar>
            <w:vAlign w:val="center"/>
          </w:tcPr>
          <w:p w14:paraId="6484FB56" w14:textId="77777777" w:rsidR="00A32BDF" w:rsidRDefault="00000000">
            <w:pPr>
              <w:pStyle w:val="TableText"/>
            </w:pPr>
            <w:r>
              <w:t>IA / contrôle</w:t>
            </w:r>
          </w:p>
        </w:tc>
        <w:tc>
          <w:tcPr>
            <w:tcW w:w="1972" w:type="dxa"/>
            <w:tcMar>
              <w:top w:w="75" w:type="dxa"/>
              <w:left w:w="90" w:type="dxa"/>
              <w:bottom w:w="75" w:type="dxa"/>
              <w:right w:w="90" w:type="dxa"/>
            </w:tcMar>
            <w:vAlign w:val="center"/>
          </w:tcPr>
          <w:p w14:paraId="5CAAF30C" w14:textId="77777777" w:rsidR="00A32BDF" w:rsidRDefault="00000000">
            <w:pPr>
              <w:pStyle w:val="TableText"/>
            </w:pPr>
            <w:r>
              <w:t>efficacité du dispositif IA ou règle</w:t>
            </w:r>
          </w:p>
        </w:tc>
        <w:tc>
          <w:tcPr>
            <w:tcW w:w="1972" w:type="dxa"/>
            <w:tcMar>
              <w:top w:w="75" w:type="dxa"/>
              <w:left w:w="90" w:type="dxa"/>
              <w:bottom w:w="75" w:type="dxa"/>
              <w:right w:w="90" w:type="dxa"/>
            </w:tcMar>
            <w:vAlign w:val="center"/>
          </w:tcPr>
          <w:p w14:paraId="253B0747" w14:textId="77777777" w:rsidR="00A32BDF" w:rsidRDefault="00000000">
            <w:pPr>
              <w:pStyle w:val="TableText"/>
            </w:pPr>
            <w:r>
              <w:t>mensuel</w:t>
            </w:r>
          </w:p>
        </w:tc>
      </w:tr>
      <w:tr w:rsidR="00A32BDF" w14:paraId="530DDAB8" w14:textId="77777777">
        <w:trPr>
          <w:jc w:val="center"/>
        </w:trPr>
        <w:tc>
          <w:tcPr>
            <w:tcW w:w="1972" w:type="dxa"/>
            <w:tcMar>
              <w:top w:w="75" w:type="dxa"/>
              <w:left w:w="90" w:type="dxa"/>
              <w:bottom w:w="75" w:type="dxa"/>
              <w:right w:w="90" w:type="dxa"/>
            </w:tcMar>
            <w:vAlign w:val="center"/>
          </w:tcPr>
          <w:p w14:paraId="71FC62DD" w14:textId="77777777" w:rsidR="00A32BDF" w:rsidRDefault="00000000">
            <w:pPr>
              <w:pStyle w:val="TableText"/>
            </w:pPr>
            <w:r>
              <w:t>Ressources idle</w:t>
            </w:r>
          </w:p>
        </w:tc>
        <w:tc>
          <w:tcPr>
            <w:tcW w:w="1972" w:type="dxa"/>
            <w:tcMar>
              <w:top w:w="75" w:type="dxa"/>
              <w:left w:w="90" w:type="dxa"/>
              <w:bottom w:w="75" w:type="dxa"/>
              <w:right w:w="90" w:type="dxa"/>
            </w:tcMar>
            <w:vAlign w:val="center"/>
          </w:tcPr>
          <w:p w14:paraId="7A69BC28" w14:textId="77777777" w:rsidR="00A32BDF" w:rsidRDefault="00000000">
            <w:pPr>
              <w:pStyle w:val="TableText"/>
            </w:pPr>
            <w:r>
              <w:t>% ou vCPU/RAM</w:t>
            </w:r>
          </w:p>
        </w:tc>
        <w:tc>
          <w:tcPr>
            <w:tcW w:w="1972" w:type="dxa"/>
            <w:tcMar>
              <w:top w:w="75" w:type="dxa"/>
              <w:left w:w="90" w:type="dxa"/>
              <w:bottom w:w="75" w:type="dxa"/>
              <w:right w:w="90" w:type="dxa"/>
            </w:tcMar>
            <w:vAlign w:val="center"/>
          </w:tcPr>
          <w:p w14:paraId="45643EBF" w14:textId="77777777" w:rsidR="00A32BDF" w:rsidRDefault="00000000">
            <w:pPr>
              <w:pStyle w:val="TableText"/>
            </w:pPr>
            <w:r>
              <w:t>Plateforme</w:t>
            </w:r>
          </w:p>
        </w:tc>
        <w:tc>
          <w:tcPr>
            <w:tcW w:w="1972" w:type="dxa"/>
            <w:tcMar>
              <w:top w:w="75" w:type="dxa"/>
              <w:left w:w="90" w:type="dxa"/>
              <w:bottom w:w="75" w:type="dxa"/>
              <w:right w:w="90" w:type="dxa"/>
            </w:tcMar>
            <w:vAlign w:val="center"/>
          </w:tcPr>
          <w:p w14:paraId="31C7F4BD" w14:textId="77777777" w:rsidR="00A32BDF" w:rsidRDefault="00000000">
            <w:pPr>
              <w:pStyle w:val="TableText"/>
            </w:pPr>
            <w:r>
              <w:t>droitsizing, extinction, scale-to-zero</w:t>
            </w:r>
          </w:p>
        </w:tc>
        <w:tc>
          <w:tcPr>
            <w:tcW w:w="1972" w:type="dxa"/>
            <w:tcMar>
              <w:top w:w="75" w:type="dxa"/>
              <w:left w:w="90" w:type="dxa"/>
              <w:bottom w:w="75" w:type="dxa"/>
              <w:right w:w="90" w:type="dxa"/>
            </w:tcMar>
            <w:vAlign w:val="center"/>
          </w:tcPr>
          <w:p w14:paraId="5F04B7D9" w14:textId="77777777" w:rsidR="00A32BDF" w:rsidRDefault="00000000">
            <w:pPr>
              <w:pStyle w:val="TableText"/>
            </w:pPr>
            <w:r>
              <w:t>hebdomadaire</w:t>
            </w:r>
          </w:p>
        </w:tc>
      </w:tr>
      <w:tr w:rsidR="00A32BDF" w14:paraId="6A8A6C13" w14:textId="77777777">
        <w:trPr>
          <w:jc w:val="center"/>
        </w:trPr>
        <w:tc>
          <w:tcPr>
            <w:tcW w:w="1972" w:type="dxa"/>
            <w:tcMar>
              <w:top w:w="75" w:type="dxa"/>
              <w:left w:w="90" w:type="dxa"/>
              <w:bottom w:w="75" w:type="dxa"/>
              <w:right w:w="90" w:type="dxa"/>
            </w:tcMar>
            <w:vAlign w:val="center"/>
          </w:tcPr>
          <w:p w14:paraId="558CAB58" w14:textId="77777777" w:rsidR="00A32BDF" w:rsidRDefault="00000000">
            <w:pPr>
              <w:pStyle w:val="TableText"/>
            </w:pPr>
            <w:r>
              <w:t>Volume de logs par transaction</w:t>
            </w:r>
          </w:p>
        </w:tc>
        <w:tc>
          <w:tcPr>
            <w:tcW w:w="1972" w:type="dxa"/>
            <w:tcMar>
              <w:top w:w="75" w:type="dxa"/>
              <w:left w:w="90" w:type="dxa"/>
              <w:bottom w:w="75" w:type="dxa"/>
              <w:right w:w="90" w:type="dxa"/>
            </w:tcMar>
            <w:vAlign w:val="center"/>
          </w:tcPr>
          <w:p w14:paraId="10963B65" w14:textId="77777777" w:rsidR="00A32BDF" w:rsidRDefault="00000000">
            <w:pPr>
              <w:pStyle w:val="TableText"/>
            </w:pPr>
            <w:r>
              <w:t>Ko ou Mo</w:t>
            </w:r>
          </w:p>
        </w:tc>
        <w:tc>
          <w:tcPr>
            <w:tcW w:w="1972" w:type="dxa"/>
            <w:tcMar>
              <w:top w:w="75" w:type="dxa"/>
              <w:left w:w="90" w:type="dxa"/>
              <w:bottom w:w="75" w:type="dxa"/>
              <w:right w:w="90" w:type="dxa"/>
            </w:tcMar>
            <w:vAlign w:val="center"/>
          </w:tcPr>
          <w:p w14:paraId="6E713ECC" w14:textId="77777777" w:rsidR="00A32BDF" w:rsidRDefault="00000000">
            <w:pPr>
              <w:pStyle w:val="TableText"/>
            </w:pPr>
            <w:r>
              <w:t>Technique</w:t>
            </w:r>
          </w:p>
        </w:tc>
        <w:tc>
          <w:tcPr>
            <w:tcW w:w="1972" w:type="dxa"/>
            <w:tcMar>
              <w:top w:w="75" w:type="dxa"/>
              <w:left w:w="90" w:type="dxa"/>
              <w:bottom w:w="75" w:type="dxa"/>
              <w:right w:w="90" w:type="dxa"/>
            </w:tcMar>
            <w:vAlign w:val="center"/>
          </w:tcPr>
          <w:p w14:paraId="0982FF4A" w14:textId="77777777" w:rsidR="00A32BDF" w:rsidRDefault="00000000">
            <w:pPr>
              <w:pStyle w:val="TableText"/>
            </w:pPr>
            <w:r>
              <w:t>maîtrise de l’observabilité utile</w:t>
            </w:r>
          </w:p>
        </w:tc>
        <w:tc>
          <w:tcPr>
            <w:tcW w:w="1972" w:type="dxa"/>
            <w:tcMar>
              <w:top w:w="75" w:type="dxa"/>
              <w:left w:w="90" w:type="dxa"/>
              <w:bottom w:w="75" w:type="dxa"/>
              <w:right w:w="90" w:type="dxa"/>
            </w:tcMar>
            <w:vAlign w:val="center"/>
          </w:tcPr>
          <w:p w14:paraId="01887202" w14:textId="77777777" w:rsidR="00A32BDF" w:rsidRDefault="00000000">
            <w:pPr>
              <w:pStyle w:val="TableText"/>
            </w:pPr>
            <w:r>
              <w:t>hebdomadaire</w:t>
            </w:r>
          </w:p>
        </w:tc>
      </w:tr>
      <w:tr w:rsidR="00A32BDF" w14:paraId="21CD22A5" w14:textId="77777777">
        <w:trPr>
          <w:jc w:val="center"/>
        </w:trPr>
        <w:tc>
          <w:tcPr>
            <w:tcW w:w="1972" w:type="dxa"/>
            <w:tcMar>
              <w:top w:w="75" w:type="dxa"/>
              <w:left w:w="90" w:type="dxa"/>
              <w:bottom w:w="75" w:type="dxa"/>
              <w:right w:w="90" w:type="dxa"/>
            </w:tcMar>
            <w:vAlign w:val="center"/>
          </w:tcPr>
          <w:p w14:paraId="5B60FB54" w14:textId="77777777" w:rsidR="00A32BDF" w:rsidRDefault="00000000">
            <w:pPr>
              <w:pStyle w:val="TableText"/>
            </w:pPr>
            <w:r>
              <w:t>Liquidité mobilisée vs utilisée</w:t>
            </w:r>
          </w:p>
        </w:tc>
        <w:tc>
          <w:tcPr>
            <w:tcW w:w="1972" w:type="dxa"/>
            <w:tcMar>
              <w:top w:w="75" w:type="dxa"/>
              <w:left w:w="90" w:type="dxa"/>
              <w:bottom w:w="75" w:type="dxa"/>
              <w:right w:w="90" w:type="dxa"/>
            </w:tcMar>
            <w:vAlign w:val="center"/>
          </w:tcPr>
          <w:p w14:paraId="3296B66F" w14:textId="77777777" w:rsidR="00A32BDF" w:rsidRDefault="00000000">
            <w:pPr>
              <w:pStyle w:val="TableText"/>
            </w:pPr>
            <w:r>
              <w:t>€</w:t>
            </w:r>
          </w:p>
        </w:tc>
        <w:tc>
          <w:tcPr>
            <w:tcW w:w="1972" w:type="dxa"/>
            <w:tcMar>
              <w:top w:w="75" w:type="dxa"/>
              <w:left w:w="90" w:type="dxa"/>
              <w:bottom w:w="75" w:type="dxa"/>
              <w:right w:w="90" w:type="dxa"/>
            </w:tcMar>
            <w:vAlign w:val="center"/>
          </w:tcPr>
          <w:p w14:paraId="5AE18FE6" w14:textId="77777777" w:rsidR="00A32BDF" w:rsidRDefault="00000000">
            <w:pPr>
              <w:pStyle w:val="TableText"/>
            </w:pPr>
            <w:r>
              <w:t>Paiements</w:t>
            </w:r>
          </w:p>
        </w:tc>
        <w:tc>
          <w:tcPr>
            <w:tcW w:w="1972" w:type="dxa"/>
            <w:tcMar>
              <w:top w:w="75" w:type="dxa"/>
              <w:left w:w="90" w:type="dxa"/>
              <w:bottom w:w="75" w:type="dxa"/>
              <w:right w:w="90" w:type="dxa"/>
            </w:tcMar>
            <w:vAlign w:val="center"/>
          </w:tcPr>
          <w:p w14:paraId="1A5A40A6" w14:textId="77777777" w:rsidR="00A32BDF" w:rsidRDefault="00000000">
            <w:pPr>
              <w:pStyle w:val="TableText"/>
            </w:pPr>
            <w:r>
              <w:t>efficacité du pilotage intraday</w:t>
            </w:r>
          </w:p>
        </w:tc>
        <w:tc>
          <w:tcPr>
            <w:tcW w:w="1972" w:type="dxa"/>
            <w:tcMar>
              <w:top w:w="75" w:type="dxa"/>
              <w:left w:w="90" w:type="dxa"/>
              <w:bottom w:w="75" w:type="dxa"/>
              <w:right w:w="90" w:type="dxa"/>
            </w:tcMar>
            <w:vAlign w:val="center"/>
          </w:tcPr>
          <w:p w14:paraId="136EEED5" w14:textId="77777777" w:rsidR="00A32BDF" w:rsidRDefault="00000000">
            <w:pPr>
              <w:pStyle w:val="TableText"/>
            </w:pPr>
            <w:r>
              <w:t>intraday</w:t>
            </w:r>
          </w:p>
        </w:tc>
      </w:tr>
      <w:tr w:rsidR="00A32BDF" w14:paraId="6A7D1E0D" w14:textId="77777777">
        <w:trPr>
          <w:jc w:val="center"/>
        </w:trPr>
        <w:tc>
          <w:tcPr>
            <w:tcW w:w="1972" w:type="dxa"/>
            <w:tcMar>
              <w:top w:w="75" w:type="dxa"/>
              <w:left w:w="90" w:type="dxa"/>
              <w:bottom w:w="75" w:type="dxa"/>
              <w:right w:w="90" w:type="dxa"/>
            </w:tcMar>
            <w:vAlign w:val="center"/>
          </w:tcPr>
          <w:p w14:paraId="55B6CF6F" w14:textId="77777777" w:rsidR="00A32BDF" w:rsidRDefault="00000000">
            <w:pPr>
              <w:pStyle w:val="TableText"/>
            </w:pPr>
            <w:r>
              <w:t>Faux positifs fraude</w:t>
            </w:r>
          </w:p>
        </w:tc>
        <w:tc>
          <w:tcPr>
            <w:tcW w:w="1972" w:type="dxa"/>
            <w:tcMar>
              <w:top w:w="75" w:type="dxa"/>
              <w:left w:w="90" w:type="dxa"/>
              <w:bottom w:w="75" w:type="dxa"/>
              <w:right w:w="90" w:type="dxa"/>
            </w:tcMar>
            <w:vAlign w:val="center"/>
          </w:tcPr>
          <w:p w14:paraId="6140B7B4" w14:textId="77777777" w:rsidR="00A32BDF" w:rsidRDefault="00000000">
            <w:pPr>
              <w:pStyle w:val="TableText"/>
            </w:pPr>
            <w:r>
              <w:t>%</w:t>
            </w:r>
          </w:p>
        </w:tc>
        <w:tc>
          <w:tcPr>
            <w:tcW w:w="1972" w:type="dxa"/>
            <w:tcMar>
              <w:top w:w="75" w:type="dxa"/>
              <w:left w:w="90" w:type="dxa"/>
              <w:bottom w:w="75" w:type="dxa"/>
              <w:right w:w="90" w:type="dxa"/>
            </w:tcMar>
            <w:vAlign w:val="center"/>
          </w:tcPr>
          <w:p w14:paraId="0AD46131" w14:textId="77777777" w:rsidR="00A32BDF" w:rsidRDefault="00000000">
            <w:pPr>
              <w:pStyle w:val="TableText"/>
            </w:pPr>
            <w:r>
              <w:t>Contrôle</w:t>
            </w:r>
          </w:p>
        </w:tc>
        <w:tc>
          <w:tcPr>
            <w:tcW w:w="1972" w:type="dxa"/>
            <w:tcMar>
              <w:top w:w="75" w:type="dxa"/>
              <w:left w:w="90" w:type="dxa"/>
              <w:bottom w:w="75" w:type="dxa"/>
              <w:right w:w="90" w:type="dxa"/>
            </w:tcMar>
            <w:vAlign w:val="center"/>
          </w:tcPr>
          <w:p w14:paraId="10A13E64" w14:textId="77777777" w:rsidR="00A32BDF" w:rsidRDefault="00000000">
            <w:pPr>
              <w:pStyle w:val="TableText"/>
            </w:pPr>
            <w:r>
              <w:t>qualité du dispositif de scoring</w:t>
            </w:r>
          </w:p>
        </w:tc>
        <w:tc>
          <w:tcPr>
            <w:tcW w:w="1972" w:type="dxa"/>
            <w:tcMar>
              <w:top w:w="75" w:type="dxa"/>
              <w:left w:w="90" w:type="dxa"/>
              <w:bottom w:w="75" w:type="dxa"/>
              <w:right w:w="90" w:type="dxa"/>
            </w:tcMar>
            <w:vAlign w:val="center"/>
          </w:tcPr>
          <w:p w14:paraId="14E32E8A" w14:textId="77777777" w:rsidR="00A32BDF" w:rsidRDefault="00000000">
            <w:pPr>
              <w:pStyle w:val="TableText"/>
            </w:pPr>
            <w:r>
              <w:t>hebdomadaire</w:t>
            </w:r>
          </w:p>
        </w:tc>
      </w:tr>
    </w:tbl>
    <w:p w14:paraId="5CF6C238" w14:textId="77777777" w:rsidR="00A32BDF" w:rsidRDefault="00000000">
      <w:pPr>
        <w:pStyle w:val="Titre1"/>
      </w:pPr>
      <w:r>
        <w:t>Annexe B. Glossaire opérationnel</w:t>
      </w:r>
    </w:p>
    <w:p w14:paraId="0185D4F6" w14:textId="77777777" w:rsidR="00A32BDF" w:rsidRDefault="00000000">
      <w:r>
        <w:rPr>
          <w:b/>
        </w:rPr>
        <w:t xml:space="preserve">GreenOps – </w:t>
      </w:r>
      <w:r>
        <w:t>Discipline de pilotage qui rapproche exploitation, coût, énergie et émissions afin d’améliorer l’efficacité environnementale d’un système numérique.</w:t>
      </w:r>
    </w:p>
    <w:p w14:paraId="06478317" w14:textId="77777777" w:rsidR="00A32BDF" w:rsidRDefault="00000000">
      <w:r>
        <w:rPr>
          <w:b/>
        </w:rPr>
        <w:t xml:space="preserve">SCI – </w:t>
      </w:r>
      <w:r>
        <w:t>Software Carbon Intensity. Méthode de calcul d’un taux d’émission rapporté à une unité fonctionnelle logicielle.</w:t>
      </w:r>
    </w:p>
    <w:p w14:paraId="007CB2CC" w14:textId="77777777" w:rsidR="00A32BDF" w:rsidRDefault="00000000">
      <w:r>
        <w:rPr>
          <w:b/>
        </w:rPr>
        <w:t xml:space="preserve">SCT – </w:t>
      </w:r>
      <w:r>
        <w:t>SEPA Credit Transfer, virement SEPA classique.</w:t>
      </w:r>
    </w:p>
    <w:p w14:paraId="4AE3E5E0" w14:textId="77777777" w:rsidR="00A32BDF" w:rsidRDefault="00000000">
      <w:r>
        <w:rPr>
          <w:b/>
        </w:rPr>
        <w:t xml:space="preserve">SCT Inst – </w:t>
      </w:r>
      <w:r>
        <w:t>SEPA Instant Credit Transfer, virement instantané avec exigence de traitement en quelques secondes.</w:t>
      </w:r>
    </w:p>
    <w:p w14:paraId="23F6B1EC" w14:textId="77777777" w:rsidR="00A32BDF" w:rsidRDefault="00000000">
      <w:r>
        <w:rPr>
          <w:b/>
        </w:rPr>
        <w:t xml:space="preserve">SDD – </w:t>
      </w:r>
      <w:r>
        <w:t>SEPA Direct Debit, prélèvement SEPA.</w:t>
      </w:r>
    </w:p>
    <w:p w14:paraId="4A147BA8" w14:textId="77777777" w:rsidR="00A32BDF" w:rsidRDefault="00000000">
      <w:r>
        <w:rPr>
          <w:b/>
        </w:rPr>
        <w:t xml:space="preserve">VoP – </w:t>
      </w:r>
      <w:r>
        <w:t>Verification of Payee, service de vérification du bénéficiaire avant initiation du paiement.</w:t>
      </w:r>
    </w:p>
    <w:p w14:paraId="0ED8BC78" w14:textId="77777777" w:rsidR="00A32BDF" w:rsidRDefault="00000000">
      <w:r>
        <w:rPr>
          <w:b/>
        </w:rPr>
        <w:t xml:space="preserve">PUE – </w:t>
      </w:r>
      <w:r>
        <w:t>Power Usage Effectiveness, ratio de performance énergétique d’un data center.</w:t>
      </w:r>
    </w:p>
    <w:p w14:paraId="2BC2F24E" w14:textId="77777777" w:rsidR="00A32BDF" w:rsidRDefault="00000000">
      <w:r>
        <w:rPr>
          <w:b/>
        </w:rPr>
        <w:t xml:space="preserve">CUE – </w:t>
      </w:r>
      <w:r>
        <w:t>Carbon Usage Effectiveness, métrique des émissions spécifiques d’un data center.</w:t>
      </w:r>
    </w:p>
    <w:p w14:paraId="70D66257" w14:textId="77777777" w:rsidR="00A32BDF" w:rsidRDefault="00000000">
      <w:r>
        <w:rPr>
          <w:b/>
        </w:rPr>
        <w:t xml:space="preserve">RACI – </w:t>
      </w:r>
      <w:r>
        <w:t>Répartition des responsabilités : Responsible, Accountable, Consulted, Informed.</w:t>
      </w:r>
    </w:p>
    <w:p w14:paraId="6B8792CC" w14:textId="77777777" w:rsidR="00A32BDF" w:rsidRDefault="00000000">
      <w:r>
        <w:rPr>
          <w:b/>
        </w:rPr>
        <w:t xml:space="preserve">Right-sizing – </w:t>
      </w:r>
      <w:r>
        <w:t>Ajustement des ressources allouées à la charge réelle.</w:t>
      </w:r>
    </w:p>
    <w:p w14:paraId="4B178B3A" w14:textId="77777777" w:rsidR="00A32BDF" w:rsidRDefault="00000000">
      <w:pPr>
        <w:pStyle w:val="Titre1"/>
      </w:pPr>
      <w:r>
        <w:lastRenderedPageBreak/>
        <w:t>Annexe C. Bibliographie et sources</w:t>
      </w:r>
    </w:p>
    <w:p w14:paraId="6145184B" w14:textId="77777777" w:rsidR="00A32BDF" w:rsidRDefault="00000000">
      <w:r>
        <w:t>Les références ci-dessous correspondent aux sources mobilisées pour la rédaction et la vérification du document. Elles peuvent être utilisées comme bibliographie de travail, comme base d’entretien ou comme point de départ pour approfondir un volet particulier du rapport.</w:t>
      </w:r>
    </w:p>
    <w:p w14:paraId="32C1E87D" w14:textId="77777777" w:rsidR="00A32BDF" w:rsidRDefault="00000000">
      <w:pPr>
        <w:pStyle w:val="SourceText"/>
        <w:ind w:left="170"/>
      </w:pPr>
      <w:r>
        <w:t xml:space="preserve">[1] Benchmark Green IT 2025 – rapport PDF — </w:t>
      </w:r>
      <w:hyperlink r:id="rId10">
        <w:r>
          <w:rPr>
            <w:color w:val="1F4E79"/>
          </w:rPr>
          <w:t>https://www.greenit.fr/wp-content/uploads/2025/10/Benchmark-Green-IT-Rapport-2025.pdf</w:t>
        </w:r>
      </w:hyperlink>
    </w:p>
    <w:p w14:paraId="5400C4D2" w14:textId="77777777" w:rsidR="00A32BDF" w:rsidRDefault="00000000">
      <w:pPr>
        <w:pStyle w:val="SourceText"/>
        <w:ind w:left="170"/>
      </w:pPr>
      <w:r>
        <w:t xml:space="preserve">[2] AXA – Climate &amp; Biodiversity — </w:t>
      </w:r>
      <w:hyperlink r:id="rId11">
        <w:r>
          <w:rPr>
            <w:color w:val="1F4E79"/>
          </w:rPr>
          <w:t>https://www.axa.com/en/commitments/climate-and-biodiversity</w:t>
        </w:r>
      </w:hyperlink>
    </w:p>
    <w:p w14:paraId="3C8B9C15" w14:textId="77777777" w:rsidR="00A32BDF" w:rsidRDefault="00000000">
      <w:pPr>
        <w:pStyle w:val="SourceText"/>
        <w:ind w:left="170"/>
      </w:pPr>
      <w:r>
        <w:t xml:space="preserve">[3] AXA – Questions écrites AG 2025 (PDF) — </w:t>
      </w:r>
      <w:hyperlink r:id="rId12">
        <w:r>
          <w:rPr>
            <w:color w:val="1F4E79"/>
          </w:rPr>
          <w:t>https://www-axa-com.cdn.axa-contento-118412.eu/www-axa-com/209614ab-1381-4209-9daf-8778f38242ea_axa_questions_ecrites_ag2025_va.pdf</w:t>
        </w:r>
      </w:hyperlink>
    </w:p>
    <w:p w14:paraId="52EFABC4" w14:textId="77777777" w:rsidR="00A32BDF" w:rsidRDefault="00000000">
      <w:pPr>
        <w:pStyle w:val="SourceText"/>
        <w:ind w:left="170"/>
      </w:pPr>
      <w:r>
        <w:t xml:space="preserve">[4] CA-GIP – Label Numérique Responsable niveau 2 — </w:t>
      </w:r>
      <w:hyperlink r:id="rId13">
        <w:r>
          <w:rPr>
            <w:color w:val="1F4E79"/>
          </w:rPr>
          <w:t>https://www.credit-agricole.com/marques-et-metiers/toutes-nos-marques/credit-agricole-group-infrastructure-platform</w:t>
        </w:r>
      </w:hyperlink>
    </w:p>
    <w:p w14:paraId="4F9D6BBF" w14:textId="77777777" w:rsidR="00A32BDF" w:rsidRDefault="00000000">
      <w:pPr>
        <w:pStyle w:val="SourceText"/>
        <w:ind w:left="170"/>
      </w:pPr>
      <w:r>
        <w:t xml:space="preserve">[5] Crédit Agricole – Rapport intégré 2024-2025 (GreenPact) — </w:t>
      </w:r>
      <w:hyperlink r:id="rId14">
        <w:r>
          <w:rPr>
            <w:color w:val="1F4E79"/>
          </w:rPr>
          <w:t>https://rapport-integre.credit-agricole.com/wp-content/uploads/2025/05/PDF-print-FR_Rapport-integre-Credit-Agricole-S.A._150525.pdf</w:t>
        </w:r>
      </w:hyperlink>
    </w:p>
    <w:p w14:paraId="653B6DA7" w14:textId="77777777" w:rsidR="00A32BDF" w:rsidRDefault="00000000">
      <w:pPr>
        <w:pStyle w:val="SourceText"/>
        <w:ind w:left="170"/>
      </w:pPr>
      <w:r>
        <w:t xml:space="preserve">[6] Cigref – Stratégies Numérique Responsable des grandes organisations (sept. 2025) — </w:t>
      </w:r>
      <w:hyperlink r:id="rId15">
        <w:r>
          <w:rPr>
            <w:color w:val="1F4E79"/>
          </w:rPr>
          <w:t>https://www.cigref.fr/wp/wp-content/uploads/2025/09/Rapport-strategies-Numerique-Responsable-des-grandes-organisations-septembre-2025-VDEF.pdf</w:t>
        </w:r>
      </w:hyperlink>
    </w:p>
    <w:p w14:paraId="33EA95C2" w14:textId="77777777" w:rsidR="00A32BDF" w:rsidRDefault="00000000">
      <w:pPr>
        <w:pStyle w:val="SourceText"/>
        <w:ind w:left="170"/>
      </w:pPr>
      <w:r>
        <w:t xml:space="preserve">[7] BNP Paribas – Data &amp; Artificial Intelligence — </w:t>
      </w:r>
      <w:hyperlink r:id="rId16">
        <w:r>
          <w:rPr>
            <w:color w:val="1F4E79"/>
          </w:rPr>
          <w:t>https://group.bnpparibas/en/our-commitments/innovation/data-artificial-intelligence</w:t>
        </w:r>
      </w:hyperlink>
    </w:p>
    <w:p w14:paraId="497FF124" w14:textId="77777777" w:rsidR="00A32BDF" w:rsidRDefault="00000000">
      <w:pPr>
        <w:pStyle w:val="SourceText"/>
        <w:ind w:left="170"/>
      </w:pPr>
      <w:r>
        <w:t xml:space="preserve">[8] Conseil de l’UE – Omnibus I / simplification CSRD-CSDDD — </w:t>
      </w:r>
      <w:hyperlink r:id="rId17">
        <w:r>
          <w:rPr>
            <w:color w:val="1F4E79"/>
          </w:rPr>
          <w:t>https://www.consilium.europa.eu/en/press/press-releases/2026/02/24/council-signs-off-simplification-of-sustainability-reporting-and-due-diligence-requirements-to-boost-eu-competitiveness/</w:t>
        </w:r>
      </w:hyperlink>
    </w:p>
    <w:p w14:paraId="4C52DEB9" w14:textId="77777777" w:rsidR="00A32BDF" w:rsidRDefault="00000000">
      <w:pPr>
        <w:pStyle w:val="SourceText"/>
        <w:ind w:left="170"/>
      </w:pPr>
      <w:r>
        <w:t xml:space="preserve">[9] Commission européenne – data centres &gt; 500 kW / EED — </w:t>
      </w:r>
      <w:hyperlink r:id="rId18">
        <w:r>
          <w:rPr>
            <w:color w:val="1F4E79"/>
          </w:rPr>
          <w:t>https://energy.ec.europa.eu/resources/preparatory-studies/minimum-performance-standards-eu-data-centres_en</w:t>
        </w:r>
      </w:hyperlink>
    </w:p>
    <w:p w14:paraId="22374796" w14:textId="77777777" w:rsidR="00A32BDF" w:rsidRDefault="00000000">
      <w:pPr>
        <w:pStyle w:val="SourceText"/>
        <w:ind w:left="170"/>
      </w:pPr>
      <w:r>
        <w:t xml:space="preserve">[10] EBA – Guidelines on the management of ESG risks — </w:t>
      </w:r>
      <w:hyperlink r:id="rId19">
        <w:r>
          <w:rPr>
            <w:color w:val="1F4E79"/>
          </w:rPr>
          <w:t>https://www.eba.europa.eu/activities/single-rulebook/regulatory-activities/sustainable-finance/guidelines-management-esg-risks</w:t>
        </w:r>
      </w:hyperlink>
    </w:p>
    <w:p w14:paraId="3DC1F9F1" w14:textId="77777777" w:rsidR="00A32BDF" w:rsidRDefault="00000000">
      <w:pPr>
        <w:pStyle w:val="SourceText"/>
        <w:ind w:left="170"/>
      </w:pPr>
      <w:r>
        <w:t xml:space="preserve">[11] ECB – Instant Payments Regulation — </w:t>
      </w:r>
      <w:hyperlink r:id="rId20">
        <w:r>
          <w:rPr>
            <w:color w:val="1F4E79"/>
          </w:rPr>
          <w:t>https://www.ecb.europa.eu/paym/retail/instant_payments/html/instant_payments_regulation.en.html</w:t>
        </w:r>
      </w:hyperlink>
    </w:p>
    <w:p w14:paraId="559E7215" w14:textId="77777777" w:rsidR="00A32BDF" w:rsidRDefault="00000000">
      <w:pPr>
        <w:pStyle w:val="SourceText"/>
        <w:ind w:left="170"/>
      </w:pPr>
      <w:r>
        <w:t xml:space="preserve">[12] ECB – Comprehensive payments strategy (31 March 2026) — </w:t>
      </w:r>
      <w:hyperlink r:id="rId21">
        <w:r>
          <w:rPr>
            <w:color w:val="1F4E79"/>
          </w:rPr>
          <w:t>https://www.ecb.europa.eu/press/pr/date/2026/html/ecb.pr260331~04561d8476.en.html</w:t>
        </w:r>
      </w:hyperlink>
    </w:p>
    <w:p w14:paraId="3A8B802C" w14:textId="77777777" w:rsidR="00A32BDF" w:rsidRDefault="00000000">
      <w:pPr>
        <w:pStyle w:val="SourceText"/>
        <w:ind w:left="170"/>
      </w:pPr>
      <w:r>
        <w:t xml:space="preserve">[13] Banque de France – National Retail Payments Strategy 2025-2030 — </w:t>
      </w:r>
      <w:hyperlink r:id="rId22">
        <w:r>
          <w:rPr>
            <w:color w:val="1F4E79"/>
          </w:rPr>
          <w:t>https://www.banque-france.fr/en/monetary-strategy/means-payment/national-payments-committee-cnmp/national-retail-payments-strategy</w:t>
        </w:r>
      </w:hyperlink>
    </w:p>
    <w:p w14:paraId="14C0EB15" w14:textId="77777777" w:rsidR="00A32BDF" w:rsidRDefault="00000000">
      <w:pPr>
        <w:pStyle w:val="SourceText"/>
        <w:ind w:left="170"/>
      </w:pPr>
      <w:r>
        <w:t xml:space="preserve">[14] Banque de France – Payments statistics: first half of 2025 — </w:t>
      </w:r>
      <w:hyperlink r:id="rId23">
        <w:r>
          <w:rPr>
            <w:color w:val="1F4E79"/>
          </w:rPr>
          <w:t>https://www.banque-france.fr/fr/communiques-de-presse/payments-statistics-first-half-2025</w:t>
        </w:r>
      </w:hyperlink>
    </w:p>
    <w:p w14:paraId="480748F7" w14:textId="77777777" w:rsidR="00A32BDF" w:rsidRDefault="00000000">
      <w:pPr>
        <w:pStyle w:val="SourceText"/>
        <w:ind w:left="170"/>
      </w:pPr>
      <w:r>
        <w:t xml:space="preserve">[15] Banque de France – In 2024, French citizens continued to adopt innovative payment methods — </w:t>
      </w:r>
      <w:hyperlink r:id="rId24">
        <w:r>
          <w:rPr>
            <w:color w:val="1F4E79"/>
          </w:rPr>
          <w:t>https://www.banque-france.fr/en/publications-and-statistics/publications/2024-french-citizens-continued-adopt-innovative-payment-methods</w:t>
        </w:r>
      </w:hyperlink>
    </w:p>
    <w:p w14:paraId="5A86F861" w14:textId="77777777" w:rsidR="00A32BDF" w:rsidRDefault="00000000">
      <w:pPr>
        <w:pStyle w:val="SourceText"/>
        <w:ind w:left="170"/>
      </w:pPr>
      <w:r>
        <w:t xml:space="preserve">[16] EBA/ECB – Joint report on payment fraud (Dec. 2025) — </w:t>
      </w:r>
      <w:hyperlink r:id="rId25">
        <w:r>
          <w:rPr>
            <w:color w:val="1F4E79"/>
          </w:rPr>
          <w:t>https://www.eba.europa.eu/publications-and-media/press-releases/joint-eba-ecb-report-payment-fraud-strong-authentication-remains-effective-fraudsters-are-adapting</w:t>
        </w:r>
      </w:hyperlink>
    </w:p>
    <w:p w14:paraId="06F39A7A" w14:textId="77777777" w:rsidR="00A32BDF" w:rsidRDefault="00000000">
      <w:pPr>
        <w:pStyle w:val="SourceText"/>
        <w:ind w:left="170"/>
      </w:pPr>
      <w:r>
        <w:t xml:space="preserve">[17] AFNOR – Référentiel général pour l’IA frugale — </w:t>
      </w:r>
      <w:hyperlink r:id="rId26">
        <w:r>
          <w:rPr>
            <w:color w:val="1F4E79"/>
          </w:rPr>
          <w:t>https://www.afnor.org/actualites/intelligence-artificielle/referentiel-reduire-impact-environnemental-ia/</w:t>
        </w:r>
      </w:hyperlink>
    </w:p>
    <w:p w14:paraId="4A79E9C0" w14:textId="77777777" w:rsidR="00A32BDF" w:rsidRDefault="00000000">
      <w:pPr>
        <w:pStyle w:val="SourceText"/>
        <w:ind w:left="170"/>
      </w:pPr>
      <w:r>
        <w:t xml:space="preserve">[18] Green Software Foundation – SCI Specification — </w:t>
      </w:r>
      <w:hyperlink r:id="rId27">
        <w:r>
          <w:rPr>
            <w:color w:val="1F4E79"/>
          </w:rPr>
          <w:t>https://sci.greensoftware.foundation/</w:t>
        </w:r>
      </w:hyperlink>
    </w:p>
    <w:p w14:paraId="420943C4" w14:textId="77777777" w:rsidR="00A32BDF" w:rsidRDefault="00000000">
      <w:pPr>
        <w:pStyle w:val="SourceText"/>
        <w:ind w:left="170"/>
      </w:pPr>
      <w:r>
        <w:t xml:space="preserve">[19] FinOps Foundation – Cloud sustainability and FinOps — </w:t>
      </w:r>
      <w:hyperlink r:id="rId28">
        <w:r>
          <w:rPr>
            <w:color w:val="1F4E79"/>
          </w:rPr>
          <w:t>https://www.finops.org/wg/sustainability/</w:t>
        </w:r>
      </w:hyperlink>
    </w:p>
    <w:p w14:paraId="787987F2" w14:textId="77777777" w:rsidR="00A32BDF" w:rsidRDefault="00000000">
      <w:pPr>
        <w:pStyle w:val="SourceText"/>
        <w:ind w:left="170"/>
      </w:pPr>
      <w:r>
        <w:t xml:space="preserve">[20] Red Hat OpenShift – Power monitoring overview — </w:t>
      </w:r>
      <w:hyperlink r:id="rId29">
        <w:r>
          <w:rPr>
            <w:color w:val="1F4E79"/>
          </w:rPr>
          <w:t>https://docs.redhat.com/en/documentation/openshift_container_platform/4.16/html/power_monitoring/power-monitoring-overview</w:t>
        </w:r>
      </w:hyperlink>
    </w:p>
    <w:p w14:paraId="696155A2" w14:textId="77777777" w:rsidR="00A32BDF" w:rsidRDefault="00000000">
      <w:pPr>
        <w:pStyle w:val="SourceText"/>
        <w:ind w:left="170"/>
      </w:pPr>
      <w:r>
        <w:t xml:space="preserve">[21] Scaphandre – Prometheus exporter documentation — </w:t>
      </w:r>
      <w:hyperlink r:id="rId30">
        <w:r>
          <w:rPr>
            <w:color w:val="1F4E79"/>
          </w:rPr>
          <w:t>https://hubblo-org.github.io/scaphandre-documentation/references/exporter-prometheus.html</w:t>
        </w:r>
      </w:hyperlink>
    </w:p>
    <w:p w14:paraId="561F1878" w14:textId="77777777" w:rsidR="00A32BDF" w:rsidRDefault="00000000">
      <w:pPr>
        <w:pStyle w:val="SourceText"/>
        <w:ind w:left="170"/>
      </w:pPr>
      <w:r>
        <w:t xml:space="preserve">[22] Cloud Carbon Footprint – Methodology — </w:t>
      </w:r>
      <w:hyperlink r:id="rId31">
        <w:r>
          <w:rPr>
            <w:color w:val="1F4E79"/>
          </w:rPr>
          <w:t>https://www.cloudcarbonfootprint.org/docs/methodology/</w:t>
        </w:r>
      </w:hyperlink>
    </w:p>
    <w:p w14:paraId="01FA8DA9" w14:textId="77777777" w:rsidR="00A32BDF" w:rsidRDefault="00000000">
      <w:pPr>
        <w:pStyle w:val="SourceText"/>
        <w:ind w:left="170"/>
      </w:pPr>
      <w:r>
        <w:t xml:space="preserve">[23] AWS – Customer Carbon Footprint Tool overview — </w:t>
      </w:r>
      <w:hyperlink r:id="rId32">
        <w:r>
          <w:rPr>
            <w:color w:val="1F4E79"/>
          </w:rPr>
          <w:t>https://docs.aws.amazon.com/awsaccountbilling/latest/aboutv2/ccft-overview.html</w:t>
        </w:r>
      </w:hyperlink>
    </w:p>
    <w:p w14:paraId="04194C9D" w14:textId="77777777" w:rsidR="00A32BDF" w:rsidRDefault="00000000">
      <w:pPr>
        <w:pStyle w:val="SourceText"/>
        <w:ind w:left="170"/>
      </w:pPr>
      <w:r>
        <w:t xml:space="preserve">[24] Azure – Carbon optimization in Azure (view emissions) — </w:t>
      </w:r>
      <w:hyperlink r:id="rId33">
        <w:r>
          <w:rPr>
            <w:color w:val="1F4E79"/>
          </w:rPr>
          <w:t>https://learn.microsoft.com/en-us/azure/carbon-optimization/view-emissions</w:t>
        </w:r>
      </w:hyperlink>
    </w:p>
    <w:p w14:paraId="599CC9B3" w14:textId="77777777" w:rsidR="00A32BDF" w:rsidRDefault="00000000">
      <w:pPr>
        <w:pStyle w:val="SourceText"/>
        <w:ind w:left="170"/>
      </w:pPr>
      <w:r>
        <w:lastRenderedPageBreak/>
        <w:t xml:space="preserve">[25] Azure – Export carbon optimization emissions data — </w:t>
      </w:r>
      <w:hyperlink r:id="rId34">
        <w:r>
          <w:rPr>
            <w:color w:val="1F4E79"/>
          </w:rPr>
          <w:t>https://learn.microsoft.com/en-us/azure/carbon-optimization/export-data</w:t>
        </w:r>
      </w:hyperlink>
    </w:p>
    <w:p w14:paraId="6EF2BE5E" w14:textId="77777777" w:rsidR="00A32BDF" w:rsidRDefault="00000000">
      <w:pPr>
        <w:pStyle w:val="SourceText"/>
        <w:ind w:left="170"/>
      </w:pPr>
      <w:r>
        <w:t xml:space="preserve">[26] Google Cloud – Carbon Footprint — </w:t>
      </w:r>
      <w:hyperlink r:id="rId35">
        <w:r>
          <w:rPr>
            <w:color w:val="1F4E79"/>
          </w:rPr>
          <w:t>https://cloud.google.com/carbon-footprint</w:t>
        </w:r>
      </w:hyperlink>
    </w:p>
    <w:p w14:paraId="717E11B5" w14:textId="77777777" w:rsidR="00A32BDF" w:rsidRDefault="00000000">
      <w:pPr>
        <w:pStyle w:val="SourceText"/>
        <w:ind w:left="170"/>
      </w:pPr>
      <w:r>
        <w:t xml:space="preserve">[27] Electricity Maps – API developer hub — </w:t>
      </w:r>
      <w:hyperlink r:id="rId36">
        <w:r>
          <w:rPr>
            <w:color w:val="1F4E79"/>
          </w:rPr>
          <w:t>https://app.electricitymaps.com/docs</w:t>
        </w:r>
      </w:hyperlink>
    </w:p>
    <w:p w14:paraId="0C7A4CCF" w14:textId="77777777" w:rsidR="00A32BDF" w:rsidRDefault="00000000">
      <w:pPr>
        <w:pStyle w:val="SourceText"/>
        <w:ind w:left="170"/>
      </w:pPr>
      <w:r>
        <w:t xml:space="preserve">[28] ADEME – Lancez votre démarche de numérique responsable — </w:t>
      </w:r>
      <w:hyperlink r:id="rId37">
        <w:r>
          <w:rPr>
            <w:color w:val="1F4E79"/>
          </w:rPr>
          <w:t>https://agirpourlatransition.ademe.fr/entreprises/conseils/transverse/numerique-responsable</w:t>
        </w:r>
      </w:hyperlink>
    </w:p>
    <w:p w14:paraId="4AE16502" w14:textId="77777777" w:rsidR="00A32BDF" w:rsidRDefault="00000000">
      <w:pPr>
        <w:pStyle w:val="SourceText"/>
        <w:ind w:left="170"/>
      </w:pPr>
      <w:r>
        <w:t xml:space="preserve">[29] Numérique écoresponsable – RGESN 2024 — </w:t>
      </w:r>
      <w:hyperlink r:id="rId38">
        <w:r>
          <w:rPr>
            <w:color w:val="1F4E79"/>
          </w:rPr>
          <w:t>https://ecoresponsable.numerique.gouv.fr/publications/referentiel-general-ecoconception/</w:t>
        </w:r>
      </w:hyperlink>
    </w:p>
    <w:p w14:paraId="43ECE654" w14:textId="77777777" w:rsidR="00A32BDF" w:rsidRDefault="00000000">
      <w:pPr>
        <w:pStyle w:val="SourceText"/>
        <w:ind w:left="170"/>
      </w:pPr>
      <w:r>
        <w:t xml:space="preserve">[30] Boavizta API documentation — </w:t>
      </w:r>
      <w:hyperlink r:id="rId39">
        <w:r>
          <w:rPr>
            <w:color w:val="1F4E79"/>
          </w:rPr>
          <w:t>https://doc.api.boavizta.org/</w:t>
        </w:r>
      </w:hyperlink>
    </w:p>
    <w:p w14:paraId="724CEDDE" w14:textId="77777777" w:rsidR="00A32BDF" w:rsidRDefault="00000000">
      <w:pPr>
        <w:pStyle w:val="SourceText"/>
        <w:ind w:left="170"/>
      </w:pPr>
      <w:r>
        <w:t xml:space="preserve">[31] The Green Grid – PUE — </w:t>
      </w:r>
      <w:hyperlink r:id="rId40">
        <w:r>
          <w:rPr>
            <w:color w:val="1F4E79"/>
          </w:rPr>
          <w:t>https://datacenters.lbl.gov/sites/default/files/WP49-PUE%20A%20Comprehensive%20Examination%20of%20the%20Metric_v6.pdf</w:t>
        </w:r>
      </w:hyperlink>
    </w:p>
    <w:p w14:paraId="0C4E5730" w14:textId="77777777" w:rsidR="00A32BDF" w:rsidRDefault="00000000">
      <w:pPr>
        <w:pStyle w:val="SourceText"/>
        <w:ind w:left="170"/>
      </w:pPr>
      <w:r>
        <w:t xml:space="preserve">[32] The Green Grid – CUE — </w:t>
      </w:r>
      <w:hyperlink r:id="rId41">
        <w:r>
          <w:rPr>
            <w:color w:val="1F4E79"/>
          </w:rPr>
          <w:t>https://www.thegreengrid.org/en/resources/library-and-tools/241-WP%2332---Carbon-Usage-Effectiveness-%28CUE%29%3A-A-Green-Grid-Data-Center-Sustainability-Metric</w:t>
        </w:r>
      </w:hyperlink>
    </w:p>
    <w:p w14:paraId="34737187" w14:textId="77777777" w:rsidR="00A32BDF" w:rsidRDefault="00000000">
      <w:pPr>
        <w:pStyle w:val="SourceText"/>
        <w:ind w:left="170"/>
      </w:pPr>
      <w:r>
        <w:t xml:space="preserve">[33] Google Cloud – Optimize resource usage for sustainability — </w:t>
      </w:r>
      <w:hyperlink r:id="rId42">
        <w:r>
          <w:rPr>
            <w:color w:val="1F4E79"/>
          </w:rPr>
          <w:t>https://docs.cloud.google.com/architecture/framework/sustainability/optimize-resource-usage</w:t>
        </w:r>
      </w:hyperlink>
    </w:p>
    <w:p w14:paraId="4BD71E83" w14:textId="77777777" w:rsidR="00A32BDF" w:rsidRDefault="00000000">
      <w:pPr>
        <w:pStyle w:val="SourceText"/>
        <w:ind w:left="170"/>
      </w:pPr>
      <w:r>
        <w:t xml:space="preserve">[34] RTE – 2025 review: GHG emissions — </w:t>
      </w:r>
      <w:hyperlink r:id="rId43">
        <w:r>
          <w:rPr>
            <w:color w:val="1F4E79"/>
          </w:rPr>
          <w:t>https://analysesetdonnees.rte-france.com/en/annual-review-2025/ghg-emissions</w:t>
        </w:r>
      </w:hyperlink>
    </w:p>
    <w:p w14:paraId="16BA5299" w14:textId="77777777" w:rsidR="00A32BDF" w:rsidRDefault="00000000">
      <w:pPr>
        <w:pStyle w:val="SourceText"/>
        <w:ind w:left="170"/>
      </w:pPr>
      <w:r>
        <w:t xml:space="preserve">[35] IEA – France — </w:t>
      </w:r>
      <w:hyperlink r:id="rId44">
        <w:r>
          <w:rPr>
            <w:color w:val="1F4E79"/>
          </w:rPr>
          <w:t>https://www.iea.org/countries/france</w:t>
        </w:r>
      </w:hyperlink>
    </w:p>
    <w:sectPr w:rsidR="00A32BDF">
      <w:headerReference w:type="default" r:id="rId45"/>
      <w:footerReference w:type="default" r:id="rId46"/>
      <w:pgSz w:w="12240" w:h="15840"/>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94A33" w14:textId="77777777" w:rsidR="00FE693D" w:rsidRDefault="00FE693D">
      <w:pPr>
        <w:spacing w:after="0" w:line="240" w:lineRule="auto"/>
      </w:pPr>
      <w:r>
        <w:separator/>
      </w:r>
    </w:p>
  </w:endnote>
  <w:endnote w:type="continuationSeparator" w:id="0">
    <w:p w14:paraId="652DD25F" w14:textId="77777777" w:rsidR="00FE693D" w:rsidRDefault="00FE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D320" w14:textId="77777777" w:rsidR="00A32BDF" w:rsidRDefault="00000000">
    <w:pPr>
      <w:pStyle w:val="Pieddepage"/>
      <w:jc w:val="center"/>
    </w:pPr>
    <w:r>
      <w:rPr>
        <w:color w:val="6B7280"/>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83CF9" w14:textId="77777777" w:rsidR="00FE693D" w:rsidRDefault="00FE693D">
      <w:pPr>
        <w:spacing w:after="0" w:line="240" w:lineRule="auto"/>
      </w:pPr>
      <w:r>
        <w:separator/>
      </w:r>
    </w:p>
  </w:footnote>
  <w:footnote w:type="continuationSeparator" w:id="0">
    <w:p w14:paraId="6F11FE03" w14:textId="77777777" w:rsidR="00FE693D" w:rsidRDefault="00FE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5EFE1" w14:textId="77777777" w:rsidR="00A32BDF" w:rsidRDefault="00000000">
    <w:pPr>
      <w:pStyle w:val="En-tte"/>
      <w:jc w:val="right"/>
    </w:pPr>
    <w:r>
      <w:rPr>
        <w:color w:val="6B7280"/>
        <w:sz w:val="17"/>
      </w:rPr>
      <w:t>IT verte, GreenOps, recherche opérationnelle et architecture solution – Paiements bancaires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1479731">
    <w:abstractNumId w:val="8"/>
  </w:num>
  <w:num w:numId="2" w16cid:durableId="1297176500">
    <w:abstractNumId w:val="6"/>
  </w:num>
  <w:num w:numId="3" w16cid:durableId="1132165159">
    <w:abstractNumId w:val="5"/>
  </w:num>
  <w:num w:numId="4" w16cid:durableId="1169448294">
    <w:abstractNumId w:val="4"/>
  </w:num>
  <w:num w:numId="5" w16cid:durableId="1821917830">
    <w:abstractNumId w:val="7"/>
  </w:num>
  <w:num w:numId="6" w16cid:durableId="576011773">
    <w:abstractNumId w:val="3"/>
  </w:num>
  <w:num w:numId="7" w16cid:durableId="803619977">
    <w:abstractNumId w:val="2"/>
  </w:num>
  <w:num w:numId="8" w16cid:durableId="1693993334">
    <w:abstractNumId w:val="1"/>
  </w:num>
  <w:num w:numId="9" w16cid:durableId="176661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C9"/>
    <w:rsid w:val="0029639D"/>
    <w:rsid w:val="00326F90"/>
    <w:rsid w:val="00A32BDF"/>
    <w:rsid w:val="00AA1D8D"/>
    <w:rsid w:val="00B47730"/>
    <w:rsid w:val="00C042BE"/>
    <w:rsid w:val="00CB0664"/>
    <w:rsid w:val="00FC693F"/>
    <w:rsid w:val="00FE6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FDE0E"/>
  <w14:defaultImageDpi w14:val="300"/>
  <w15:docId w15:val="{221C3270-6615-4FC8-A2C1-1A04D380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sz w:val="21"/>
    </w:rPr>
  </w:style>
  <w:style w:type="paragraph" w:styleId="Titre1">
    <w:name w:val="heading 1"/>
    <w:basedOn w:val="Normal"/>
    <w:next w:val="Normal"/>
    <w:link w:val="Titre1C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2F557A"/>
      <w:sz w:val="25"/>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1F1F1F"/>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pPr>
      <w:spacing w:after="160"/>
    </w:pPr>
    <w:rPr>
      <w:rFonts w:ascii="Cambria" w:hAnsi="Cambria"/>
      <w:b/>
      <w:color w:val="1F4E79"/>
      <w:sz w:val="48"/>
    </w:rPr>
  </w:style>
  <w:style w:type="paragraph" w:customStyle="1" w:styleId="ReportSubtitle">
    <w:name w:val="ReportSubtitle"/>
    <w:basedOn w:val="Normal"/>
    <w:pPr>
      <w:spacing w:after="80"/>
    </w:pPr>
    <w:rPr>
      <w:color w:val="445566"/>
      <w:sz w:val="24"/>
    </w:rPr>
  </w:style>
  <w:style w:type="paragraph" w:customStyle="1" w:styleId="SmallCapsNote">
    <w:name w:val="SmallCapsNote"/>
    <w:basedOn w:val="Normal"/>
    <w:pPr>
      <w:spacing w:after="60"/>
    </w:pPr>
    <w:rPr>
      <w:color w:val="666666"/>
      <w:sz w:val="17"/>
    </w:rPr>
  </w:style>
  <w:style w:type="paragraph" w:customStyle="1" w:styleId="SectionLead">
    <w:name w:val="SectionLead"/>
    <w:basedOn w:val="Normal"/>
    <w:pPr>
      <w:spacing w:after="200"/>
    </w:pPr>
    <w:rPr>
      <w:i/>
      <w:color w:val="445566"/>
      <w:sz w:val="22"/>
    </w:rPr>
  </w:style>
  <w:style w:type="paragraph" w:customStyle="1" w:styleId="TableText">
    <w:name w:val="TableText"/>
    <w:basedOn w:val="Normal"/>
    <w:pPr>
      <w:spacing w:after="20" w:line="252" w:lineRule="auto"/>
    </w:pPr>
    <w:rPr>
      <w:sz w:val="18"/>
    </w:rPr>
  </w:style>
  <w:style w:type="paragraph" w:customStyle="1" w:styleId="SourceText">
    <w:name w:val="SourceText"/>
    <w:basedOn w:val="Normal"/>
    <w:pPr>
      <w:spacing w:after="60"/>
    </w:pPr>
    <w:rPr>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edit-agricole.com/marques-et-metiers/toutes-nos-marques/credit-agricole-group-infrastructure-platform" TargetMode="External"/><Relationship Id="rId18" Type="http://schemas.openxmlformats.org/officeDocument/2006/relationships/hyperlink" Target="https://energy.ec.europa.eu/resources/preparatory-studies/minimum-performance-standards-eu-data-centres_en" TargetMode="External"/><Relationship Id="rId26" Type="http://schemas.openxmlformats.org/officeDocument/2006/relationships/hyperlink" Target="https://www.afnor.org/actualites/intelligence-artificielle/referentiel-reduire-impact-environnemental-ia/" TargetMode="External"/><Relationship Id="rId39" Type="http://schemas.openxmlformats.org/officeDocument/2006/relationships/hyperlink" Target="https://doc.api.boavizta.org/" TargetMode="External"/><Relationship Id="rId21" Type="http://schemas.openxmlformats.org/officeDocument/2006/relationships/hyperlink" Target="https://www.ecb.europa.eu/press/pr/date/2026/html/ecb.pr260331~04561d8476.en.html" TargetMode="External"/><Relationship Id="rId34" Type="http://schemas.openxmlformats.org/officeDocument/2006/relationships/hyperlink" Target="https://learn.microsoft.com/en-us/azure/carbon-optimization/export-data" TargetMode="External"/><Relationship Id="rId42" Type="http://schemas.openxmlformats.org/officeDocument/2006/relationships/hyperlink" Target="https://docs.cloud.google.com/architecture/framework/sustainability/optimize-resource-usag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roup.bnpparibas/en/our-commitments/innovation/data-artificial-intelligence" TargetMode="External"/><Relationship Id="rId29" Type="http://schemas.openxmlformats.org/officeDocument/2006/relationships/hyperlink" Target="https://docs.redhat.com/en/documentation/openshift_container_platform/4.16/html/power_monitoring/power-monitoring-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xa.com/en/commitments/climate-and-biodiversity" TargetMode="External"/><Relationship Id="rId24" Type="http://schemas.openxmlformats.org/officeDocument/2006/relationships/hyperlink" Target="https://www.banque-france.fr/en/publications-and-statistics/publications/2024-french-citizens-continued-adopt-innovative-payment-methods" TargetMode="External"/><Relationship Id="rId32" Type="http://schemas.openxmlformats.org/officeDocument/2006/relationships/hyperlink" Target="https://docs.aws.amazon.com/awsaccountbilling/latest/aboutv2/ccft-overview.html" TargetMode="External"/><Relationship Id="rId37" Type="http://schemas.openxmlformats.org/officeDocument/2006/relationships/hyperlink" Target="https://agirpourlatransition.ademe.fr/entreprises/conseils/transverse/numerique-responsable" TargetMode="External"/><Relationship Id="rId40" Type="http://schemas.openxmlformats.org/officeDocument/2006/relationships/hyperlink" Target="https://datacenters.lbl.gov/sites/default/files/WP49-PUE%20A%20Comprehensive%20Examination%20of%20the%20Metric_v6.pdf"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igref.fr/wp/wp-content/uploads/2025/09/Rapport-strategies-Numerique-Responsable-des-grandes-organisations-septembre-2025-VDEF.pdf" TargetMode="External"/><Relationship Id="rId23" Type="http://schemas.openxmlformats.org/officeDocument/2006/relationships/hyperlink" Target="https://www.banque-france.fr/fr/communiques-de-presse/payments-statistics-first-half-2025" TargetMode="External"/><Relationship Id="rId28" Type="http://schemas.openxmlformats.org/officeDocument/2006/relationships/hyperlink" Target="https://www.finops.org/wg/sustainability/" TargetMode="External"/><Relationship Id="rId36" Type="http://schemas.openxmlformats.org/officeDocument/2006/relationships/hyperlink" Target="https://app.electricitymaps.com/docs" TargetMode="External"/><Relationship Id="rId10" Type="http://schemas.openxmlformats.org/officeDocument/2006/relationships/hyperlink" Target="https://www.greenit.fr/wp-content/uploads/2025/10/Benchmark-Green-IT-Rapport-2025.pdf" TargetMode="External"/><Relationship Id="rId19" Type="http://schemas.openxmlformats.org/officeDocument/2006/relationships/hyperlink" Target="https://www.eba.europa.eu/activities/single-rulebook/regulatory-activities/sustainable-finance/guidelines-management-esg-risks" TargetMode="External"/><Relationship Id="rId31" Type="http://schemas.openxmlformats.org/officeDocument/2006/relationships/hyperlink" Target="https://www.cloudcarbonfootprint.org/docs/methodology/" TargetMode="External"/><Relationship Id="rId44" Type="http://schemas.openxmlformats.org/officeDocument/2006/relationships/hyperlink" Target="https://www.iea.org/countries/fra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apport-integre.credit-agricole.com/wp-content/uploads/2025/05/PDF-print-FR_Rapport-integre-Credit-Agricole-S.A._150525.pdf" TargetMode="External"/><Relationship Id="rId22" Type="http://schemas.openxmlformats.org/officeDocument/2006/relationships/hyperlink" Target="https://www.banque-france.fr/en/monetary-strategy/means-payment/national-payments-committee-cnmp/national-retail-payments-strategy" TargetMode="External"/><Relationship Id="rId27" Type="http://schemas.openxmlformats.org/officeDocument/2006/relationships/hyperlink" Target="https://sci.greensoftware.foundation/" TargetMode="External"/><Relationship Id="rId30" Type="http://schemas.openxmlformats.org/officeDocument/2006/relationships/hyperlink" Target="https://hubblo-org.github.io/scaphandre-documentation/references/exporter-prometheus.html" TargetMode="External"/><Relationship Id="rId35" Type="http://schemas.openxmlformats.org/officeDocument/2006/relationships/hyperlink" Target="https://cloud.google.com/carbon-footprint" TargetMode="External"/><Relationship Id="rId43" Type="http://schemas.openxmlformats.org/officeDocument/2006/relationships/hyperlink" Target="https://analysesetdonnees.rte-france.com/en/annual-review-2025/ghg-emissions"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xa-com.cdn.axa-contento-118412.eu/www-axa-com/209614ab-1381-4209-9daf-8778f38242ea_axa_questions_ecrites_ag2025_va.pdf" TargetMode="External"/><Relationship Id="rId17" Type="http://schemas.openxmlformats.org/officeDocument/2006/relationships/hyperlink" Target="https://www.consilium.europa.eu/en/press/press-releases/2026/02/24/council-signs-off-simplification-of-sustainability-reporting-and-due-diligence-requirements-to-boost-eu-competitiveness/" TargetMode="External"/><Relationship Id="rId25" Type="http://schemas.openxmlformats.org/officeDocument/2006/relationships/hyperlink" Target="https://www.eba.europa.eu/publications-and-media/press-releases/joint-eba-ecb-report-payment-fraud-strong-authentication-remains-effective-fraudsters-are-adapting" TargetMode="External"/><Relationship Id="rId33" Type="http://schemas.openxmlformats.org/officeDocument/2006/relationships/hyperlink" Target="https://learn.microsoft.com/en-us/azure/carbon-optimization/view-emissions" TargetMode="External"/><Relationship Id="rId38" Type="http://schemas.openxmlformats.org/officeDocument/2006/relationships/hyperlink" Target="https://ecoresponsable.numerique.gouv.fr/publications/referentiel-general-ecoconception/" TargetMode="External"/><Relationship Id="rId46" Type="http://schemas.openxmlformats.org/officeDocument/2006/relationships/footer" Target="footer1.xml"/><Relationship Id="rId20" Type="http://schemas.openxmlformats.org/officeDocument/2006/relationships/hyperlink" Target="https://www.ecb.europa.eu/paym/retail/instant_payments/html/instant_payments_regulation.en.html" TargetMode="External"/><Relationship Id="rId41" Type="http://schemas.openxmlformats.org/officeDocument/2006/relationships/hyperlink" Target="https://www.thegreengrid.org/en/resources/library-and-tools/241-WP%2332---Carbon-Usage-Effectiveness-%28CUE%29%3A-A-Green-Grid-Data-Center-Sustainability-Metr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6916</Words>
  <Characters>38041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détaillé – IT verte, GreenOps, recherche opérationnelle et architecture solution dans les services de paiement bancaires</dc:title>
  <dc:subject>Green IT, GreenOps, paiements bancaires, architecture solution, recherche opérationnelle</dc:subject>
  <dc:creator>Djamal ZIDANE</dc:creator>
  <cp:keywords>Green IT, Numérique Responsable, GreenOps, Paiements, SCT Inst, VoP, DORA, SCI, Architecture</cp:keywords>
  <dc:description>Document généré le 14 avril 2026</dc:description>
  <cp:lastModifiedBy>Djamal ZIDANE</cp:lastModifiedBy>
  <cp:revision>2</cp:revision>
  <dcterms:created xsi:type="dcterms:W3CDTF">2026-04-23T10:26:00Z</dcterms:created>
  <dcterms:modified xsi:type="dcterms:W3CDTF">2026-04-23T10:26:00Z</dcterms:modified>
  <cp:category/>
</cp:coreProperties>
</file>