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Arial" w:cs="Arial" w:eastAsia="Arial" w:hAnsi="Arial"/>
          <w:sz w:val="22"/>
          <w:szCs w:val="22"/>
        </w:rPr>
        <w:t xml:space="preserve"/>
      </w:r>
    </w:p>
    <w:p>
      <w:pPr>
        <w:spacing w:after="160" w:before="0"/>
        <w:jc w:val="center"/>
      </w:pPr>
      <w:r>
        <w:rPr>
          <w:rFonts w:ascii="Arial" w:cs="Arial" w:eastAsia="Arial" w:hAnsi="Arial"/>
          <w:b/>
          <w:bCs/>
          <w:caps/>
          <w:color w:val="6B7280"/>
          <w:sz w:val="28"/>
          <w:szCs w:val="28"/>
        </w:rPr>
        <w:t xml:space="preserve">RAPPORT D'ANALYSE</w:t>
      </w:r>
    </w:p>
    <w:p>
      <w:pPr>
        <w:spacing w:after="120" w:before="0"/>
        <w:jc w:val="center"/>
      </w:pPr>
      <w:r>
        <w:rPr>
          <w:rFonts w:ascii="Arial" w:cs="Arial" w:eastAsia="Arial" w:hAnsi="Arial"/>
          <w:b/>
          <w:bCs/>
          <w:color w:val="1A3A5C"/>
          <w:sz w:val="52"/>
          <w:szCs w:val="52"/>
        </w:rPr>
        <w:t xml:space="preserve">Flux Bancaires de Paiements</w:t>
      </w:r>
    </w:p>
    <w:p>
      <w:pPr>
        <w:spacing w:after="200" w:before="0"/>
        <w:jc w:val="center"/>
      </w:pPr>
      <w:r>
        <w:rPr>
          <w:rFonts w:ascii="Arial" w:cs="Arial" w:eastAsia="Arial" w:hAnsi="Arial"/>
          <w:b/>
          <w:bCs/>
          <w:color w:val="2E6DA4"/>
          <w:sz w:val="36"/>
          <w:szCs w:val="36"/>
        </w:rPr>
        <w:t xml:space="preserve">SCT · SCT Inst · SDD</w:t>
      </w:r>
    </w:p>
    <w:p>
      <w:pPr>
        <w:pBdr>
          <w:bottom w:val="single" w:color="2E6DA4" w:sz="12" w:space="4"/>
        </w:pBdr>
        <w:spacing w:after="400" w:before="0"/>
        <w:jc w:val="center"/>
      </w:pPr>
      <w:r>
        <w:rPr>
          <w:rFonts w:ascii="Arial" w:cs="Arial" w:eastAsia="Arial" w:hAnsi="Arial"/>
          <w:color w:val="6B7280"/>
          <w:sz w:val="26"/>
          <w:szCs w:val="26"/>
        </w:rPr>
        <w:t xml:space="preserve">Architecture, Écosystème BPCE &amp; Enjeux GreenOps</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jc w:val="center"/>
            </w:pPr>
            <w:r>
              <w:rPr>
                <w:rFonts w:ascii="Arial" w:cs="Arial" w:eastAsia="Arial" w:hAnsi="Arial"/>
                <w:b/>
                <w:bCs/>
                <w:color w:val="1A3A5C"/>
                <w:sz w:val="36"/>
                <w:szCs w:val="36"/>
              </w:rPr>
              <w:t xml:space="preserve">3 Instruments</w:t>
            </w:r>
          </w:p>
          <w:p>
            <w:pPr>
              <w:jc w:val="center"/>
            </w:pPr>
            <w:r>
              <w:rPr>
                <w:rFonts w:ascii="Arial" w:cs="Arial" w:eastAsia="Arial" w:hAnsi="Arial"/>
                <w:color w:val="6B7280"/>
                <w:sz w:val="20"/>
                <w:szCs w:val="20"/>
              </w:rPr>
              <w:t xml:space="preserve">SEPA analysés</w:t>
            </w:r>
          </w:p>
        </w:tc>
        <w:tc>
          <w:tcPr>
            <w:tcW w:type="dxa" w:w="3120"/>
            <w:tcBorders>
              <w:top w:val="none" w:color="FFFFFF" w:sz="0"/>
              <w:left w:val="none" w:color="FFFFFF" w:sz="0"/>
              <w:bottom w:val="none" w:color="FFFFFF" w:sz="0"/>
              <w:right w:val="none" w:color="FFFFFF" w:sz="0"/>
            </w:tcBorders>
            <w:shd w:fill="E2F2E8" w:val="clear"/>
            <w:tcMar>
              <w:top w:type="dxa" w:w="160"/>
              <w:left w:type="dxa" w:w="200"/>
              <w:bottom w:type="dxa" w:w="160"/>
              <w:right w:type="dxa" w:w="200"/>
            </w:tcMar>
          </w:tcPr>
          <w:p>
            <w:pPr>
              <w:jc w:val="center"/>
            </w:pPr>
            <w:r>
              <w:rPr>
                <w:rFonts w:ascii="Arial" w:cs="Arial" w:eastAsia="Arial" w:hAnsi="Arial"/>
                <w:b/>
                <w:bCs/>
                <w:color w:val="1E7A45"/>
                <w:sz w:val="36"/>
                <w:szCs w:val="36"/>
              </w:rPr>
              <w:t xml:space="preserve">5 Entités</w:t>
            </w:r>
          </w:p>
          <w:p>
            <w:pPr>
              <w:jc w:val="center"/>
            </w:pPr>
            <w:r>
              <w:rPr>
                <w:rFonts w:ascii="Arial" w:cs="Arial" w:eastAsia="Arial" w:hAnsi="Arial"/>
                <w:color w:val="6B7280"/>
                <w:sz w:val="20"/>
                <w:szCs w:val="20"/>
              </w:rPr>
              <w:t xml:space="preserve">clés dans l'écosystème</w:t>
            </w:r>
          </w:p>
        </w:tc>
        <w:tc>
          <w:tcPr>
            <w:tcW w:type="dxa" w:w="3120"/>
            <w:tcBorders>
              <w:top w:val="none" w:color="FFFFFF" w:sz="0"/>
              <w:left w:val="none" w:color="FFFFFF" w:sz="0"/>
              <w:bottom w:val="none" w:color="FFFFFF" w:sz="0"/>
              <w:right w:val="none" w:color="FFFFFF" w:sz="0"/>
            </w:tcBorders>
            <w:shd w:fill="FDE8D4" w:val="clear"/>
            <w:tcMar>
              <w:top w:type="dxa" w:w="160"/>
              <w:left w:type="dxa" w:w="200"/>
              <w:bottom w:type="dxa" w:w="160"/>
              <w:right w:type="dxa" w:w="200"/>
            </w:tcMar>
          </w:tcPr>
          <w:p>
            <w:pPr>
              <w:jc w:val="center"/>
            </w:pPr>
            <w:r>
              <w:rPr>
                <w:rFonts w:ascii="Arial" w:cs="Arial" w:eastAsia="Arial" w:hAnsi="Arial"/>
                <w:b/>
                <w:bCs/>
                <w:color w:val="C05900"/>
                <w:sz w:val="36"/>
                <w:szCs w:val="36"/>
              </w:rPr>
              <w:t xml:space="preserve">4 Défis</w:t>
            </w:r>
          </w:p>
          <w:p>
            <w:pPr>
              <w:jc w:val="center"/>
            </w:pPr>
            <w:r>
              <w:rPr>
                <w:rFonts w:ascii="Arial" w:cs="Arial" w:eastAsia="Arial" w:hAnsi="Arial"/>
                <w:color w:val="6B7280"/>
                <w:sz w:val="20"/>
                <w:szCs w:val="20"/>
              </w:rPr>
              <w:t xml:space="preserve">simultanés en 2025-2030</w:t>
            </w:r>
          </w:p>
        </w:tc>
      </w:tr>
    </w:tbl>
    <w:p>
      <w:pPr>
        <w:spacing w:after="40" w:before="40"/>
      </w:pPr>
      <w:r>
        <w:t xml:space="preserve"/>
      </w:r>
    </w:p>
    <w:p>
      <w:pPr>
        <w:spacing w:after="40" w:before="40"/>
      </w:pPr>
      <w:r>
        <w:t xml:space="preserve"/>
      </w:r>
    </w:p>
    <w:p>
      <w:pPr>
        <w:spacing w:after="40" w:before="40"/>
      </w:pPr>
      <w:r>
        <w:t xml:space="preserve"/>
      </w:r>
    </w:p>
    <w:p>
      <w:pPr>
        <w:jc w:val="center"/>
      </w:pPr>
      <w:r>
        <w:rPr>
          <w:rFonts w:ascii="Arial" w:cs="Arial" w:eastAsia="Arial" w:hAnsi="Arial"/>
          <w:color w:val="6B7280"/>
          <w:sz w:val="20"/>
          <w:szCs w:val="20"/>
        </w:rPr>
        <w:t xml:space="preserve">Analyse réalisée à partir du dépôt GitHub</w:t>
      </w:r>
    </w:p>
    <w:p>
      <w:pPr>
        <w:jc w:val="center"/>
      </w:pPr>
      <w:r>
        <w:rPr>
          <w:rFonts w:ascii="Arial" w:cs="Arial" w:eastAsia="Arial" w:hAnsi="Arial"/>
          <w:b/>
          <w:bCs/>
          <w:color w:val="2E6DA4"/>
          <w:sz w:val="20"/>
          <w:szCs w:val="20"/>
        </w:rPr>
        <w:t xml:space="preserve">zdmooc / greenops-it-flux-architecture</w:t>
      </w:r>
    </w:p>
    <w:p>
      <w:pPr>
        <w:spacing w:after="40" w:before="40"/>
      </w:pPr>
      <w:r>
        <w:t xml:space="preserve"/>
      </w:r>
    </w:p>
    <w:p>
      <w:pPr>
        <w:jc w:val="center"/>
      </w:pPr>
      <w:r>
        <w:rPr>
          <w:rFonts w:ascii="Arial" w:cs="Arial" w:eastAsia="Arial" w:hAnsi="Arial"/>
          <w:color w:val="6B7280"/>
          <w:sz w:val="20"/>
          <w:szCs w:val="20"/>
        </w:rPr>
        <w:t xml:space="preserve">Avril 2026</w:t>
      </w:r>
    </w:p>
    <w:p>
      <w:r>
        <w:br w:type="page"/>
      </w:r>
    </w:p>
    <w:p>
      <w:pPr>
        <w:pStyle w:val="Heading1"/>
        <w:pBdr>
          <w:bottom w:val="single" w:color="2E6DA4" w:sz="8" w:space="4"/>
        </w:pBdr>
        <w:spacing w:after="200" w:before="400"/>
      </w:pPr>
      <w:r>
        <w:rPr>
          <w:rFonts w:ascii="Arial" w:cs="Arial" w:eastAsia="Arial" w:hAnsi="Arial"/>
          <w:b/>
          <w:bCs/>
          <w:color w:val="1A3A5C"/>
          <w:sz w:val="36"/>
          <w:szCs w:val="36"/>
        </w:rPr>
        <w:t xml:space="preserve">1. Les Instruments SEPA : Architecture et Fonctionnement</w:t>
      </w:r>
    </w:p>
    <w:p>
      <w:pPr>
        <w:spacing w:after="80" w:before="80"/>
      </w:pPr>
      <w:r>
        <w:rPr>
          <w:rFonts w:ascii="Arial" w:cs="Arial" w:eastAsia="Arial" w:hAnsi="Arial"/>
          <w:b w:val="false"/>
          <w:bCs w:val="false"/>
          <w:color w:val="111111"/>
          <w:sz w:val="22"/>
          <w:szCs w:val="22"/>
        </w:rPr>
        <w:t xml:space="preserve">Le terme « flux bancaires » recouvre en réalité trois instruments SEPA distincts, chacun avec une contrainte technique, réglementaire et opérationnelle radicalement différente. Les comprendre dans leur détail est indispensable pour saisir la complexité du domaine IT Flux et la pertinence de l'approche GreenOps.</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1.1 SCT — SEPA Credit Transfer : le Virement Classique</w:t>
      </w:r>
    </w:p>
    <w:p>
      <w:pPr>
        <w:spacing w:after="80" w:before="80"/>
      </w:pPr>
      <w:r>
        <w:rPr>
          <w:rFonts w:ascii="Arial" w:cs="Arial" w:eastAsia="Arial" w:hAnsi="Arial"/>
          <w:b w:val="false"/>
          <w:bCs w:val="false"/>
          <w:color w:val="111111"/>
          <w:sz w:val="22"/>
          <w:szCs w:val="22"/>
        </w:rPr>
        <w:t xml:space="preserve">Le SCT est l'instrument le plus ancien et le plus répandu de la zone SEPA. Il correspond au virement bancaire standard de compte à compte, traité en mode batch différé.</w:t>
      </w:r>
    </w:p>
    <w:p>
      <w:pPr>
        <w:spacing w:after="40" w:before="40"/>
      </w:pPr>
      <w:r>
        <w:t xml:space="preserve"/>
      </w:r>
    </w:p>
    <w:p>
      <w:pPr>
        <w:pStyle w:val="Heading3"/>
        <w:spacing w:after="80" w:before="200"/>
      </w:pPr>
      <w:r>
        <w:rPr>
          <w:rFonts w:ascii="Arial" w:cs="Arial" w:eastAsia="Arial" w:hAnsi="Arial"/>
          <w:b/>
          <w:bCs/>
          <w:color w:val="1A3A5C"/>
          <w:sz w:val="24"/>
          <w:szCs w:val="24"/>
        </w:rPr>
        <w:t xml:space="preserve">Fonctionnement technique</w:t>
      </w:r>
    </w:p>
    <w:p>
      <w:pPr>
        <w:spacing w:after="80" w:before="80"/>
      </w:pPr>
      <w:r>
        <w:rPr>
          <w:rFonts w:ascii="Arial" w:cs="Arial" w:eastAsia="Arial" w:hAnsi="Arial"/>
          <w:b w:val="false"/>
          <w:bCs w:val="false"/>
          <w:color w:val="111111"/>
          <w:sz w:val="22"/>
          <w:szCs w:val="22"/>
        </w:rPr>
        <w:t xml:space="preserve">Le cycle de vie d'un SCT s'étend sur plusieurs étapes distinctes. La journée bancaire est découpée en fenêtres d'échange (HAJE — Heure de l'Arrêté des Journées d'Échange) pendant lesquelles les banques émettent leurs fichiers de paiement vers CORE/STET. La compensation multilatérale calcule les soldes nets entre participants. Le règlement définitif des soldes nets intervient dans T2 (ex-TARGET2) à 15h05-15h15. Le crédit sur le compte bénéficiaire doit intervenir au plus tard en J+1.</w:t>
      </w:r>
    </w:p>
    <w:p>
      <w:pPr>
        <w:spacing w:after="40" w:before="40"/>
      </w:pPr>
      <w:r>
        <w:t xml:space="preserve"/>
      </w:r>
    </w:p>
    <w:p>
      <w:pPr>
        <w:pStyle w:val="Heading3"/>
        <w:spacing w:after="80" w:before="200"/>
      </w:pPr>
      <w:r>
        <w:rPr>
          <w:rFonts w:ascii="Arial" w:cs="Arial" w:eastAsia="Arial" w:hAnsi="Arial"/>
          <w:b/>
          <w:bCs/>
          <w:color w:val="1A3A5C"/>
          <w:sz w:val="24"/>
          <w:szCs w:val="24"/>
        </w:rPr>
        <w:t xml:space="preserve">Format des messages : ISO 20022 pacs / pain</w:t>
      </w:r>
    </w:p>
    <w:p>
      <w:pPr>
        <w:spacing w:after="80" w:before="80"/>
      </w:pPr>
      <w:r>
        <w:rPr>
          <w:rFonts w:ascii="Arial" w:cs="Arial" w:eastAsia="Arial" w:hAnsi="Arial"/>
          <w:b w:val="false"/>
          <w:bCs w:val="false"/>
          <w:color w:val="111111"/>
          <w:sz w:val="22"/>
          <w:szCs w:val="22"/>
        </w:rPr>
        <w:t xml:space="preserve">Les messages SCT reposent sur un ensemble de formats XML standardisés. Chaque format a un rôle précis dans la chaîne de traitement.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Format</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Nom</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pain.001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CustomerCreditTransferInitiation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Initiation du virement par le client vers sa banque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pain.002</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CustomerPaymentStatusReport</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Accusé de réception / rapport de statut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pacs.008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FIToFICustomerCreditTransfer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Transfert entre banques (inter-PSP)</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pacs.002</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FIToFIPaymentStatusReport</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Confirmation de règlement inter-bancaire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camt.054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BankToCustomerDebitCreditNotification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Notification débit/crédit côté client</w:t>
            </w:r>
          </w:p>
        </w:tc>
      </w:tr>
    </w:tbl>
    <w:p>
      <w:pPr>
        <w:spacing w:after="40" w:before="40"/>
      </w:pPr>
      <w:r>
        <w:t xml:space="preserve"/>
      </w:r>
    </w:p>
    <w:p>
      <w:pPr>
        <w:pStyle w:val="Heading3"/>
        <w:spacing w:after="80" w:before="200"/>
      </w:pPr>
      <w:r>
        <w:rPr>
          <w:rFonts w:ascii="Arial" w:cs="Arial" w:eastAsia="Arial" w:hAnsi="Arial"/>
          <w:b/>
          <w:bCs/>
          <w:color w:val="1A3A5C"/>
          <w:sz w:val="24"/>
          <w:szCs w:val="24"/>
        </w:rPr>
        <w:t xml:space="preserve">Volumes et enjeux pour BPCE</w:t>
      </w:r>
    </w:p>
    <w:p>
      <w:pPr>
        <w:spacing w:after="80" w:before="80"/>
      </w:pPr>
      <w:r>
        <w:rPr>
          <w:rFonts w:ascii="Arial" w:cs="Arial" w:eastAsia="Arial" w:hAnsi="Arial"/>
          <w:b w:val="false"/>
          <w:bCs w:val="false"/>
          <w:color w:val="111111"/>
          <w:sz w:val="22"/>
          <w:szCs w:val="22"/>
        </w:rPr>
        <w:t xml:space="preserve">Le SCT représente le flux le plus volumineux en nombre de transactions dans les systèmes bancaires français. STET / CORE(FR) traite en moyenne 55 millions d'opérations par jour avec des pics à 121 millions. Pour BPCE, second groupe bancaire français, cela représente une part significative de ces volumes — de l'ordre de plusieurs millions de transactions quotidiennes entre toutes les entités du groupe (Banques Populaires, Caisses d'Épargne, Natixis…).</w:t>
      </w:r>
    </w:p>
    <w:p>
      <w:pPr>
        <w:spacing w:after="40" w:before="40"/>
      </w:pPr>
      <w:r>
        <w:t xml:space="preserve"/>
      </w:r>
    </w:p>
    <w:p>
      <w:pPr>
        <w:spacing w:after="80" w:before="80"/>
      </w:pPr>
      <w:r>
        <w:rPr>
          <w:rFonts w:ascii="Arial" w:cs="Arial" w:eastAsia="Arial" w:hAnsi="Arial"/>
          <w:b w:val="false"/>
          <w:bCs w:val="false"/>
          <w:color w:val="111111"/>
          <w:sz w:val="22"/>
          <w:szCs w:val="22"/>
        </w:rPr>
        <w:t xml:space="preserve">Du point de vue IT, le SCT classique est traité via des systèmes MFT (Managed File Transfer) : les fichiers XML sont produits par les applicatifs métier, transmis à STET via des canaux sécurisés (SWIFT ou réseau privé STET), compensés, et les résultats de règlement sont réinjectés dans le Core Banking. C'est un traitement massivement batch, nocturne ou en fenêtres programmées.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CCCCCC" w:sz="1"/>
              <w:right w:val="single" w:color="CCCCCC" w:sz="1"/>
            </w:tcBorders>
            <w:shd w:fill="FDE8D4" w:val="clear"/>
            <w:tcMar>
              <w:top w:type="dxa" w:w="140"/>
              <w:left w:type="dxa" w:w="200"/>
              <w:bottom w:type="dxa" w:w="140"/>
              <w:right w:type="dxa" w:w="160"/>
            </w:tcMar>
          </w:tcPr>
          <w:p>
            <w:r>
              <w:rPr>
                <w:rFonts w:ascii="Arial" w:cs="Arial" w:eastAsia="Arial" w:hAnsi="Arial"/>
                <w:b/>
                <w:bCs/>
                <w:color w:val="1A3A5C"/>
                <w:sz w:val="24"/>
                <w:szCs w:val="24"/>
              </w:rPr>
              <w:t xml:space="preserve">⚠️  Point de vigilance GreenOps — SCT Batch</w:t>
            </w:r>
          </w:p>
          <w:p>
            <w:pPr>
              <w:spacing w:after="40" w:before="40"/>
            </w:pPr>
            <w:r>
              <w:t xml:space="preserve"/>
            </w:r>
          </w:p>
          <w:p>
            <w:r>
              <w:rPr>
                <w:rFonts w:ascii="Arial" w:cs="Arial" w:eastAsia="Arial" w:hAnsi="Arial"/>
                <w:color w:val="333333"/>
                <w:sz w:val="21"/>
                <w:szCs w:val="21"/>
              </w:rPr>
              <w:t xml:space="preserve">→  Les traitements batch SCT concentrent une part importante de la consommation CPU nocturne</w:t>
            </w:r>
          </w:p>
          <w:p>
            <w:r>
              <w:rPr>
                <w:rFonts w:ascii="Arial" w:cs="Arial" w:eastAsia="Arial" w:hAnsi="Arial"/>
                <w:color w:val="333333"/>
                <w:sz w:val="21"/>
                <w:szCs w:val="21"/>
              </w:rPr>
              <w:t xml:space="preserve">→  Des batchs redondants (relances, re-calculs) représentent un gaspillage énergétique mesurable</w:t>
            </w:r>
          </w:p>
          <w:p>
            <w:r>
              <w:rPr>
                <w:rFonts w:ascii="Arial" w:cs="Arial" w:eastAsia="Arial" w:hAnsi="Arial"/>
                <w:color w:val="333333"/>
                <w:sz w:val="21"/>
                <w:szCs w:val="21"/>
              </w:rPr>
              <w:t xml:space="preserve">→  Le scheduling carbon-aware (décalage vers les heures de faible intensité carbone du réseau électrique) est directement applicable à ce flux</w:t>
            </w:r>
          </w:p>
          <w:p>
            <w:r>
              <w:rPr>
                <w:rFonts w:ascii="Arial" w:cs="Arial" w:eastAsia="Arial" w:hAnsi="Arial"/>
                <w:color w:val="333333"/>
                <w:sz w:val="21"/>
                <w:szCs w:val="21"/>
              </w:rPr>
              <w:t xml:space="preserve">→  La migration ISO 20022 impose une refonte des parsers : opportunité d'éco-conception</w:t>
            </w:r>
          </w:p>
        </w:tc>
      </w:tr>
    </w:tbl>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6DA4"/>
          <w:sz w:val="28"/>
          <w:szCs w:val="28"/>
        </w:rPr>
        <w:t xml:space="preserve">1.2 SDD — SEPA Direct Debit : le Prélèvement Automatique</w:t>
      </w:r>
    </w:p>
    <w:p>
      <w:pPr>
        <w:spacing w:after="80" w:before="80"/>
      </w:pPr>
      <w:r>
        <w:rPr>
          <w:rFonts w:ascii="Arial" w:cs="Arial" w:eastAsia="Arial" w:hAnsi="Arial"/>
          <w:b w:val="false"/>
          <w:bCs w:val="false"/>
          <w:color w:val="111111"/>
          <w:sz w:val="22"/>
          <w:szCs w:val="22"/>
        </w:rPr>
        <w:t xml:space="preserve">Le SDD est l'instrument de débit automatique. Il permet à un créancier (une entreprise, une administration) de débiter directement le compte bancaire d'un débiteur (un client, un abonné) sur la base d'un mandat préalablement signé.</w:t>
      </w:r>
    </w:p>
    <w:p>
      <w:pPr>
        <w:spacing w:after="40" w:before="40"/>
      </w:pPr>
      <w:r>
        <w:t xml:space="preserve"/>
      </w:r>
    </w:p>
    <w:p>
      <w:pPr>
        <w:pStyle w:val="Heading3"/>
        <w:spacing w:after="80" w:before="200"/>
      </w:pPr>
      <w:r>
        <w:rPr>
          <w:rFonts w:ascii="Arial" w:cs="Arial" w:eastAsia="Arial" w:hAnsi="Arial"/>
          <w:b/>
          <w:bCs/>
          <w:color w:val="1A3A5C"/>
          <w:sz w:val="24"/>
          <w:szCs w:val="24"/>
        </w:rPr>
        <w:t xml:space="preserve">Deux schémas SDD distincts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Schéma</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Cible</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Spécificités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SDD 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Particuliers et professionnels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Délai de contestation 8 semaines (non-autorisé) / 13 mois. Présentation J-5 avant échéance (1ère occurrence) ou J-2 (récurrent). Le plus utilisé en volume.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SDD B2B</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Entreprises uniquement</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Délai de contestation très court, pas de remboursement inconditionnel. Mandat vérifié par la banque du débiteur. Présentation J-1.</w:t>
            </w:r>
          </w:p>
        </w:tc>
      </w:tr>
    </w:tbl>
    <w:p>
      <w:pPr>
        <w:spacing w:after="40" w:before="40"/>
      </w:pPr>
      <w:r>
        <w:t xml:space="preserve"/>
      </w:r>
    </w:p>
    <w:p>
      <w:pPr>
        <w:pStyle w:val="Heading3"/>
        <w:spacing w:after="80" w:before="200"/>
      </w:pPr>
      <w:r>
        <w:rPr>
          <w:rFonts w:ascii="Arial" w:cs="Arial" w:eastAsia="Arial" w:hAnsi="Arial"/>
          <w:b/>
          <w:bCs/>
          <w:color w:val="1A3A5C"/>
          <w:sz w:val="24"/>
          <w:szCs w:val="24"/>
        </w:rPr>
        <w:t xml:space="preserve">Cycle de traitement SDD</w:t>
      </w:r>
    </w:p>
    <w:p>
      <w:pPr>
        <w:spacing w:after="80" w:before="80"/>
      </w:pPr>
      <w:r>
        <w:rPr>
          <w:rFonts w:ascii="Arial" w:cs="Arial" w:eastAsia="Arial" w:hAnsi="Arial"/>
          <w:b w:val="false"/>
          <w:bCs w:val="false"/>
          <w:color w:val="111111"/>
          <w:sz w:val="22"/>
          <w:szCs w:val="22"/>
        </w:rPr>
        <w:t xml:space="preserve">Le SDD impose des contraintes de présentation anticipée contrairement au SCT. Le créancier doit soumettre ses fichiers en avance suffisante pour laisser le temps à la chaîne de traitement d'effectuer les contrôles de mandat, les notifications de débit, et d'assurer le règlement à la bonne date. Le règlement des SDD se fait dans CORE/STET avec une compensation multilatérale, règlement dans T2.</w:t>
      </w:r>
    </w:p>
    <w:p>
      <w:pPr>
        <w:spacing w:after="40" w:before="40"/>
      </w:pPr>
      <w:r>
        <w:t xml:space="preserve"/>
      </w:r>
    </w:p>
    <w:p>
      <w:pPr>
        <w:pStyle w:val="Heading3"/>
        <w:spacing w:after="80" w:before="200"/>
      </w:pPr>
      <w:r>
        <w:rPr>
          <w:rFonts w:ascii="Arial" w:cs="Arial" w:eastAsia="Arial" w:hAnsi="Arial"/>
          <w:b/>
          <w:bCs/>
          <w:color w:val="1A3A5C"/>
          <w:sz w:val="24"/>
          <w:szCs w:val="24"/>
        </w:rPr>
        <w:t xml:space="preserve">Les retours et rejets : un défi majeur</w:t>
      </w:r>
    </w:p>
    <w:p>
      <w:pPr>
        <w:spacing w:after="80" w:before="80"/>
      </w:pPr>
      <w:r>
        <w:rPr>
          <w:rFonts w:ascii="Arial" w:cs="Arial" w:eastAsia="Arial" w:hAnsi="Arial"/>
          <w:b w:val="false"/>
          <w:bCs w:val="false"/>
          <w:color w:val="111111"/>
          <w:sz w:val="22"/>
          <w:szCs w:val="22"/>
        </w:rPr>
        <w:t xml:space="preserve">Le SDD est l'instrument le plus sujet aux exceptions : rejets techniques (IBAN incorrect, compte inexistant), retours (insufficient funds), révocations de mandat, demandes de remboursement. Chaque type d'exception génère un message de retour standardisé (pacs.004, pacs.002, camt.056) qui doit être traité, réconcilié, et peut déclencher des relances.</w:t>
      </w:r>
    </w:p>
    <w:p>
      <w:pPr>
        <w:spacing w:after="40" w:before="40"/>
      </w:pPr>
      <w:r>
        <w:t xml:space="preserve"/>
      </w:r>
    </w:p>
    <w:p>
      <w:pPr>
        <w:spacing w:after="80" w:before="80"/>
      </w:pPr>
      <w:r>
        <w:rPr>
          <w:rFonts w:ascii="Arial" w:cs="Arial" w:eastAsia="Arial" w:hAnsi="Arial"/>
          <w:b w:val="false"/>
          <w:bCs w:val="false"/>
          <w:color w:val="111111"/>
          <w:sz w:val="22"/>
          <w:szCs w:val="22"/>
        </w:rPr>
        <w:t xml:space="preserve">Ces retours ont un impact direct sur la consommation informatique : chaque retour génère un événement de traitement supplémentaire, des notifications, des mises à jour du système de mandats. Dans une logique GreenOps, réduire le taux de rejet SDD est un levier de décarbonation indirect mais réel.</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6DA4"/>
          <w:sz w:val="28"/>
          <w:szCs w:val="28"/>
        </w:rPr>
        <w:t xml:space="preserve">1.3 SCT Inst — Instant Payment : la Rupture Technologique</w:t>
      </w:r>
    </w:p>
    <w:p>
      <w:pPr>
        <w:spacing w:after="80" w:before="80"/>
      </w:pPr>
      <w:r>
        <w:rPr>
          <w:rFonts w:ascii="Arial" w:cs="Arial" w:eastAsia="Arial" w:hAnsi="Arial"/>
          <w:b w:val="false"/>
          <w:bCs w:val="false"/>
          <w:color w:val="111111"/>
          <w:sz w:val="22"/>
          <w:szCs w:val="22"/>
        </w:rPr>
        <w:t xml:space="preserve">Le SCT Inst est le plus contraignant techniquement des trois instruments. Il ne s'agit plus d'un traitement batch différé mais d'un traitement temps réel avec des SLA extrêmement stricts.</w:t>
      </w:r>
    </w:p>
    <w:p>
      <w:pPr>
        <w:spacing w:after="40" w:before="40"/>
      </w:pPr>
      <w:r>
        <w:t xml:space="preserve"/>
      </w:r>
    </w:p>
    <w:p>
      <w:pPr>
        <w:pStyle w:val="Heading3"/>
        <w:spacing w:after="80" w:before="200"/>
      </w:pPr>
      <w:r>
        <w:rPr>
          <w:rFonts w:ascii="Arial" w:cs="Arial" w:eastAsia="Arial" w:hAnsi="Arial"/>
          <w:b/>
          <w:bCs/>
          <w:color w:val="1A3A5C"/>
          <w:sz w:val="24"/>
          <w:szCs w:val="24"/>
        </w:rPr>
        <w:t xml:space="preserve">Les contraintes techniques fondamentales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Contrainte</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Valeur</w:t>
            </w:r>
          </w:p>
        </w:tc>
        <w:tc>
          <w:tcPr>
            <w:tcW w:type="dxa" w:w="4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Implication technique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Délai maximal bout-en-bout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10 secondes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Latence totale : réseau + validation + Core Banking + notification. Pas de tolérance.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Disponibilité</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24/7/365</w:t>
            </w:r>
          </w:p>
        </w:tc>
        <w:tc>
          <w:tcPr>
            <w:tcW w:type="dxa" w:w="4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Aucune fenêtre de maintenance autorisée. Architecture active-active obligatoire.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Montant maximum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100 000 €</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Contrôle en temps réel. Le règlement européen 2024/886 élèvera progressivement ce plafond.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Irrévocabilité</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Immédiate</w:t>
            </w:r>
          </w:p>
        </w:tc>
        <w:tc>
          <w:tcPr>
            <w:tcW w:type="dxa" w:w="4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Pas d'annulation possible après acceptation. Contrôle fraude avant acceptation.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Infrastructure de règlement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TIPS (BCE)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Règlement brut en temps réel, pas compensation différée. Compte TIPS dédié obligatoire.</w:t>
            </w:r>
          </w:p>
        </w:tc>
      </w:tr>
    </w:tbl>
    <w:p>
      <w:pPr>
        <w:spacing w:after="40" w:before="40"/>
      </w:pPr>
      <w:r>
        <w:t xml:space="preserve"/>
      </w:r>
    </w:p>
    <w:p>
      <w:pPr>
        <w:pStyle w:val="Heading3"/>
        <w:spacing w:after="80" w:before="200"/>
      </w:pPr>
      <w:r>
        <w:rPr>
          <w:rFonts w:ascii="Arial" w:cs="Arial" w:eastAsia="Arial" w:hAnsi="Arial"/>
          <w:b/>
          <w:bCs/>
          <w:color w:val="1A3A5C"/>
          <w:sz w:val="24"/>
          <w:szCs w:val="24"/>
        </w:rPr>
        <w:t xml:space="preserve">L'infrastructure TIPS</w:t>
      </w:r>
    </w:p>
    <w:p>
      <w:pPr>
        <w:spacing w:after="80" w:before="80"/>
      </w:pPr>
      <w:r>
        <w:rPr>
          <w:rFonts w:ascii="Arial" w:cs="Arial" w:eastAsia="Arial" w:hAnsi="Arial"/>
          <w:b w:val="false"/>
          <w:bCs w:val="false"/>
          <w:color w:val="111111"/>
          <w:sz w:val="22"/>
          <w:szCs w:val="22"/>
        </w:rPr>
        <w:t xml:space="preserve">Contrairement au SCT classique qui passe par CORE/STET avec compensation multilatérale différée, le SCT Inst est réglé dans TIPS (TARGET Instant Payment Settlement), la plateforme de l'Eurosystème lancée en novembre 2018. Chaque participant (ou sous-participant via un participant direct) doit maintenir un solde suffisant sur son Dedicated Cash Account (DCA) TIPS pour pouvoir régler les transactions en temps réel. Il n'y a pas de netting : chaque transaction est réglée individuellement et immédiatement.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CCCCCC" w:sz="1"/>
              <w:right w:val="single" w:color="CCCCCC" w:sz="1"/>
            </w:tcBorders>
            <w:shd w:fill="D6E8F7" w:val="clear"/>
            <w:tcMar>
              <w:top w:type="dxa" w:w="140"/>
              <w:left w:type="dxa" w:w="200"/>
              <w:bottom w:type="dxa" w:w="140"/>
              <w:right w:type="dxa" w:w="160"/>
            </w:tcMar>
          </w:tcPr>
          <w:p>
            <w:r>
              <w:rPr>
                <w:rFonts w:ascii="Arial" w:cs="Arial" w:eastAsia="Arial" w:hAnsi="Arial"/>
                <w:b/>
                <w:bCs/>
                <w:color w:val="1A3A5C"/>
                <w:sz w:val="24"/>
                <w:szCs w:val="24"/>
              </w:rPr>
              <w:t xml:space="preserve">💡  Conséquence architecturale majeure du SCT Inst pour les SI bancaires</w:t>
            </w:r>
          </w:p>
          <w:p>
            <w:pPr>
              <w:spacing w:after="40" w:before="40"/>
            </w:pPr>
            <w:r>
              <w:t xml:space="preserve"/>
            </w:r>
          </w:p>
          <w:p>
            <w:r>
              <w:rPr>
                <w:rFonts w:ascii="Arial" w:cs="Arial" w:eastAsia="Arial" w:hAnsi="Arial"/>
                <w:color w:val="333333"/>
                <w:sz w:val="21"/>
                <w:szCs w:val="21"/>
              </w:rPr>
              <w:t xml:space="preserve">→  Séparation stricte des pools de liquidité : un DCA TIPS dédié, distinct du compte T2</w:t>
            </w:r>
          </w:p>
          <w:p>
            <w:r>
              <w:rPr>
                <w:rFonts w:ascii="Arial" w:cs="Arial" w:eastAsia="Arial" w:hAnsi="Arial"/>
                <w:color w:val="333333"/>
                <w:sz w:val="21"/>
                <w:szCs w:val="21"/>
              </w:rPr>
              <w:t xml:space="preserve">→  Monitoring temps réel de la liquidité : alertes si le DCA TIPS risque d'épuiser son solde</w:t>
            </w:r>
          </w:p>
          <w:p>
            <w:r>
              <w:rPr>
                <w:rFonts w:ascii="Arial" w:cs="Arial" w:eastAsia="Arial" w:hAnsi="Arial"/>
                <w:color w:val="333333"/>
                <w:sz w:val="21"/>
                <w:szCs w:val="21"/>
              </w:rPr>
              <w:t xml:space="preserve">→  Architecture de traitement parallèle et résiliente : plusieurs workers simultanés, aucun SPOF</w:t>
            </w:r>
          </w:p>
          <w:p>
            <w:r>
              <w:rPr>
                <w:rFonts w:ascii="Arial" w:cs="Arial" w:eastAsia="Arial" w:hAnsi="Arial"/>
                <w:color w:val="333333"/>
                <w:sz w:val="21"/>
                <w:szCs w:val="21"/>
              </w:rPr>
              <w:t xml:space="preserve">→  Contrôle fraude en moins de 2-3 secondes (sur un budget de 10s total)</w:t>
            </w:r>
          </w:p>
          <w:p>
            <w:r>
              <w:rPr>
                <w:rFonts w:ascii="Arial" w:cs="Arial" w:eastAsia="Arial" w:hAnsi="Arial"/>
                <w:color w:val="333333"/>
                <w:sz w:val="21"/>
                <w:szCs w:val="21"/>
              </w:rPr>
              <w:t xml:space="preserve">→  Connectivité TIPS via ESMIG (Eurosystem Single Market Infrastructure Gateway)</w:t>
            </w:r>
          </w:p>
          <w:p>
            <w:r>
              <w:rPr>
                <w:rFonts w:ascii="Arial" w:cs="Arial" w:eastAsia="Arial" w:hAnsi="Arial"/>
                <w:color w:val="333333"/>
                <w:sz w:val="21"/>
                <w:szCs w:val="21"/>
              </w:rPr>
              <w:t xml:space="preserve">→  Réplication multi-datacenter synchrone pour le RTO quasi-nul</w:t>
            </w:r>
          </w:p>
        </w:tc>
      </w:tr>
    </w:tbl>
    <w:p>
      <w:pPr>
        <w:spacing w:after="40" w:before="40"/>
      </w:pPr>
      <w:r>
        <w:t xml:space="preserve"/>
      </w:r>
    </w:p>
    <w:p>
      <w:pPr>
        <w:pStyle w:val="Heading3"/>
        <w:spacing w:after="80" w:before="200"/>
      </w:pPr>
      <w:r>
        <w:rPr>
          <w:rFonts w:ascii="Arial" w:cs="Arial" w:eastAsia="Arial" w:hAnsi="Arial"/>
          <w:b/>
          <w:bCs/>
          <w:color w:val="1A3A5C"/>
          <w:sz w:val="24"/>
          <w:szCs w:val="24"/>
        </w:rPr>
        <w:t xml:space="preserve">Le retry incontrôlé : l'ennemi public du SCT Inst</w:t>
      </w:r>
    </w:p>
    <w:p>
      <w:pPr>
        <w:spacing w:after="80" w:before="80"/>
      </w:pPr>
      <w:r>
        <w:rPr>
          <w:rFonts w:ascii="Arial" w:cs="Arial" w:eastAsia="Arial" w:hAnsi="Arial"/>
          <w:b w:val="false"/>
          <w:bCs w:val="false"/>
          <w:color w:val="111111"/>
          <w:sz w:val="22"/>
          <w:szCs w:val="22"/>
        </w:rPr>
        <w:t xml:space="preserve">Dans un environnement à 10 secondes, les timeouts et erreurs transitoires sont inévitables. La tentation naturelle est de retenter automatiquement. Mais chaque retry génère une charge supplémentaire sur l'ensemble de la chaîne (émetteur → réseau → TIPS → banque réceptrice → Core Banking récepteur), et peut déclencher des doublons apparents qui requièrent une réconciliation coûteuse.</w:t>
      </w:r>
    </w:p>
    <w:p>
      <w:pPr>
        <w:spacing w:after="40" w:before="40"/>
      </w:pPr>
      <w:r>
        <w:t xml:space="preserve"/>
      </w:r>
    </w:p>
    <w:p>
      <w:pPr>
        <w:spacing w:after="80" w:before="80"/>
      </w:pPr>
      <w:r>
        <w:rPr>
          <w:rFonts w:ascii="Arial" w:cs="Arial" w:eastAsia="Arial" w:hAnsi="Arial"/>
          <w:b w:val="false"/>
          <w:bCs w:val="false"/>
          <w:color w:val="111111"/>
          <w:sz w:val="22"/>
          <w:szCs w:val="22"/>
        </w:rPr>
        <w:t xml:space="preserve">L'architecture du dépôt GreenOps répond directement à ce problème avec une retry policy formalisée : délai exponentiel, circuit breaker, idempotency key, et comptabilisation de chaque retry dans le bilan carbone applicatif. Un retry évité = de l'énergie économisée + un SLA amélioré + un risque de doublon supprimé.</w:t>
      </w:r>
    </w:p>
    <w:p>
      <w:pPr>
        <w:spacing w:after="40" w:before="40"/>
      </w:pPr>
      <w:r>
        <w:t xml:space="preserve"/>
      </w:r>
    </w:p>
    <w:p>
      <w:r>
        <w:br w:type="page"/>
      </w:r>
    </w:p>
    <w:p>
      <w:pPr>
        <w:pStyle w:val="Heading1"/>
        <w:pBdr>
          <w:bottom w:val="single" w:color="2E6DA4" w:sz="8" w:space="4"/>
        </w:pBdr>
        <w:spacing w:after="200" w:before="400"/>
      </w:pPr>
      <w:r>
        <w:rPr>
          <w:rFonts w:ascii="Arial" w:cs="Arial" w:eastAsia="Arial" w:hAnsi="Arial"/>
          <w:b/>
          <w:bCs/>
          <w:color w:val="1A3A5C"/>
          <w:sz w:val="36"/>
          <w:szCs w:val="36"/>
        </w:rPr>
        <w:t xml:space="preserve">2. L'Écosystème BPCE : Acteur Central des Paiements Français</w:t>
      </w:r>
    </w:p>
    <w:p>
      <w:pPr>
        <w:spacing w:after="80" w:before="80"/>
      </w:pPr>
      <w:r>
        <w:rPr>
          <w:rFonts w:ascii="Arial" w:cs="Arial" w:eastAsia="Arial" w:hAnsi="Arial"/>
          <w:b w:val="false"/>
          <w:bCs w:val="false"/>
          <w:color w:val="111111"/>
          <w:sz w:val="22"/>
          <w:szCs w:val="22"/>
        </w:rPr>
        <w:t xml:space="preserve">BPCE occupe une position à la fois unique et complexe dans le paysage des paiements français. Elle est simultanément actionnaire de l'infrastructure de place, opérateur de paiements pour compte propre et pour tiers, et banque de détail gérant des dizaines de millions de clients.</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2.1 La Cartographie des Entités BPCE Paiements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Entité</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Rôle</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Lien avec les flux SCT/SDD/SCT Inst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BPCE Payment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Opérateur de paiements industriel (ex-Natixis Payments Processing)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Processing de l'ensemble des flux pour les BP, CE et clients externes. Propriétaire de la plateforme OPF (Clear2Pay/FIS). 2ème acteur des paiements en France.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BPCE Solutions Informatiques (BPCE SI)</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DSI des entités du réseau (BP, CE)</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Développement et maintien des applicatifs métier qui produisent les fichiers pain.001 / consomment les camt.054. Porteur de la démarche GPS (Green Practice Scoring).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BPCE-IT (Infogérance &amp; Technologies)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Infrastructure et exploitation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Opère les socles d'hébergement des applications de traitement flux. Propriétaire de la trajectoire Green IT décarbonation.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Banques Populaires (13 banques régionales)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Banque de détail – émettrice et réceptrice</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Génèrent les flux clients vers BPCE Payment Services. Chaque BP est un participant indirect.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Caisses d'Épargne (15 caisses régionales)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Banque de détail – émettrice et réceptrice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Même rôle que les BP. Ensemble, BP+CE = premier émetteur de cartes Visa en Europe continentale.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STET (actionnaire)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Opérateur de CORE(FR) et SEPA(EU)</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BPCE est co-fondateur et co-propriétaire de STET avec BNP Paribas, Crédit Agricole, CM, SG. Influence directe sur les règles de place.</w:t>
            </w:r>
          </w:p>
        </w:tc>
      </w:tr>
    </w:tbl>
    <w:p>
      <w:pPr>
        <w:spacing w:after="40" w:before="40"/>
      </w:pPr>
      <w:r>
        <w:t xml:space="preserve"/>
      </w:r>
    </w:p>
    <w:p>
      <w:pPr>
        <w:pStyle w:val="Heading2"/>
        <w:spacing w:after="120" w:before="280"/>
      </w:pPr>
      <w:r>
        <w:rPr>
          <w:rFonts w:ascii="Arial" w:cs="Arial" w:eastAsia="Arial" w:hAnsi="Arial"/>
          <w:b/>
          <w:bCs/>
          <w:color w:val="2E6DA4"/>
          <w:sz w:val="28"/>
          <w:szCs w:val="28"/>
        </w:rPr>
        <w:t xml:space="preserve">2.2 BPCE comme Pionnier du SCT Inst</w:t>
      </w:r>
    </w:p>
    <w:p>
      <w:pPr>
        <w:spacing w:after="80" w:before="80"/>
      </w:pPr>
      <w:r>
        <w:rPr>
          <w:rFonts w:ascii="Arial" w:cs="Arial" w:eastAsia="Arial" w:hAnsi="Arial"/>
          <w:b w:val="false"/>
          <w:bCs w:val="false"/>
          <w:color w:val="111111"/>
          <w:sz w:val="22"/>
          <w:szCs w:val="22"/>
        </w:rPr>
        <w:t xml:space="preserve">La position de BPCE sur l'instant payment n'est pas anecdotique. Elle est le résultat d'un investissement précoce, massif et stratégique.</w:t>
      </w:r>
    </w:p>
    <w:p>
      <w:pPr>
        <w:spacing w:after="40" w:before="40"/>
      </w:pPr>
      <w:r>
        <w:t xml:space="preserve"/>
      </w:r>
    </w:p>
    <w:p>
      <w:pPr>
        <w:spacing w:after="80" w:before="80"/>
      </w:pPr>
      <w:r>
        <w:rPr>
          <w:rFonts w:ascii="Arial" w:cs="Arial" w:eastAsia="Arial" w:hAnsi="Arial"/>
          <w:b w:val="false"/>
          <w:bCs w:val="false"/>
          <w:color w:val="111111"/>
          <w:sz w:val="22"/>
          <w:szCs w:val="22"/>
        </w:rPr>
        <w:t xml:space="preserve">Natixis Payments (devenu BPCE Payment Services) a lancé le SCT Inst en France dès avril 2018, en faisant du Groupe BPCE le premier groupe bancaire français à proposer ce service. Les premiers cas d'usage déployés immédiatement illustrent la vision industrielle de la démarche :</w:t>
      </w:r>
    </w:p>
    <w:p>
      <w:pPr>
        <w:spacing w:after="40" w:before="40"/>
      </w:pPr>
      <w:r>
        <w:t xml:space="preserve"/>
      </w:r>
    </w:p>
    <w:p>
      <w:pPr>
        <w:pStyle w:val="ListParagraph"/>
        <w:numPr>
          <w:ilvl w:val="0"/>
          <w:numId w:val="2"/>
        </w:numPr>
        <w:spacing w:after="40" w:before="40"/>
      </w:pPr>
      <w:r>
        <w:rPr>
          <w:rFonts w:ascii="Arial" w:cs="Arial" w:eastAsia="Arial" w:hAnsi="Arial"/>
          <w:color w:val="111111"/>
          <w:sz w:val="22"/>
          <w:szCs w:val="22"/>
        </w:rPr>
        <w:t xml:space="preserve">Natixis Assurances : indemnisation instantanée des sinistres — premier assureur français à offrir ce service</w:t>
      </w:r>
    </w:p>
    <w:p>
      <w:pPr>
        <w:pStyle w:val="ListParagraph"/>
        <w:numPr>
          <w:ilvl w:val="0"/>
          <w:numId w:val="2"/>
        </w:numPr>
        <w:spacing w:after="40" w:before="40"/>
      </w:pPr>
      <w:r>
        <w:rPr>
          <w:rFonts w:ascii="Arial" w:cs="Arial" w:eastAsia="Arial" w:hAnsi="Arial"/>
          <w:color w:val="111111"/>
          <w:sz w:val="22"/>
          <w:szCs w:val="22"/>
        </w:rPr>
        <w:t xml:space="preserve">Natixis Financement : mise à disposition immédiate de réserve de crédit à la consommation</w:t>
      </w:r>
    </w:p>
    <w:p>
      <w:pPr>
        <w:pStyle w:val="ListParagraph"/>
        <w:numPr>
          <w:ilvl w:val="0"/>
          <w:numId w:val="2"/>
        </w:numPr>
        <w:spacing w:after="40" w:before="40"/>
      </w:pPr>
      <w:r>
        <w:rPr>
          <w:rFonts w:ascii="Arial" w:cs="Arial" w:eastAsia="Arial" w:hAnsi="Arial"/>
          <w:color w:val="111111"/>
          <w:sz w:val="22"/>
          <w:szCs w:val="22"/>
        </w:rPr>
        <w:t xml:space="preserve">Particuliers BP et CE : virement P2P (remboursement entre amis, achat occasion)</w:t>
      </w:r>
    </w:p>
    <w:p>
      <w:pPr>
        <w:pStyle w:val="ListParagraph"/>
        <w:numPr>
          <w:ilvl w:val="0"/>
          <w:numId w:val="2"/>
        </w:numPr>
        <w:spacing w:after="40" w:before="40"/>
      </w:pPr>
      <w:r>
        <w:rPr>
          <w:rFonts w:ascii="Arial" w:cs="Arial" w:eastAsia="Arial" w:hAnsi="Arial"/>
          <w:color w:val="111111"/>
          <w:sz w:val="22"/>
          <w:szCs w:val="22"/>
        </w:rPr>
        <w:t xml:space="preserve">Entreprises : intégration progressive en mode fichiers puis API</w:t>
      </w:r>
    </w:p>
    <w:p>
      <w:pPr>
        <w:spacing w:after="40" w:before="40"/>
      </w:pPr>
      <w:r>
        <w:t xml:space="preserve"/>
      </w:r>
    </w:p>
    <w:p>
      <w:pPr>
        <w:spacing w:after="80" w:before="80"/>
      </w:pPr>
      <w:r>
        <w:rPr>
          <w:rFonts w:ascii="Arial" w:cs="Arial" w:eastAsia="Arial" w:hAnsi="Arial"/>
          <w:b w:val="false"/>
          <w:bCs w:val="false"/>
          <w:color w:val="111111"/>
          <w:sz w:val="22"/>
          <w:szCs w:val="22"/>
        </w:rPr>
        <w:t xml:space="preserve">Cet investissement a été significatif. Natixis Payments a publiquement évoqué un ordre de grandeur de 15 millions d'euros pour les infrastructures techniques et financières du SCT Inst, soulignant la complexité de trouver un équilibre de marché rentable. C'est précisément cet investissement qui justifie aujourd'hui une démarche d'optimisation continue.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CCCCCC" w:sz="1"/>
              <w:right w:val="single" w:color="CCCCCC" w:sz="1"/>
            </w:tcBorders>
            <w:shd w:fill="D6E8F7" w:val="clear"/>
            <w:tcMar>
              <w:top w:type="dxa" w:w="140"/>
              <w:left w:type="dxa" w:w="200"/>
              <w:bottom w:type="dxa" w:w="140"/>
              <w:right w:type="dxa" w:w="160"/>
            </w:tcMar>
          </w:tcPr>
          <w:p>
            <w:r>
              <w:rPr>
                <w:rFonts w:ascii="Arial" w:cs="Arial" w:eastAsia="Arial" w:hAnsi="Arial"/>
                <w:b/>
                <w:bCs/>
                <w:color w:val="1A3A5C"/>
                <w:sz w:val="24"/>
                <w:szCs w:val="24"/>
              </w:rPr>
              <w:t xml:space="preserve">📊  Architecture technique BPCE Payment Services — SCT Inst</w:t>
            </w:r>
          </w:p>
          <w:p>
            <w:pPr>
              <w:spacing w:after="40" w:before="40"/>
            </w:pPr>
            <w:r>
              <w:t xml:space="preserve"/>
            </w:r>
          </w:p>
          <w:p>
            <w:r>
              <w:rPr>
                <w:rFonts w:ascii="Arial" w:cs="Arial" w:eastAsia="Arial" w:hAnsi="Arial"/>
                <w:color w:val="333333"/>
                <w:sz w:val="21"/>
                <w:szCs w:val="21"/>
              </w:rPr>
              <w:t xml:space="preserve">→  Plateforme : OPF (Open Payments Framework) de Clear2Pay / FIS — solution de référence du marché</w:t>
            </w:r>
          </w:p>
          <w:p>
            <w:r>
              <w:rPr>
                <w:rFonts w:ascii="Arial" w:cs="Arial" w:eastAsia="Arial" w:hAnsi="Arial"/>
                <w:color w:val="333333"/>
                <w:sz w:val="21"/>
                <w:szCs w:val="21"/>
              </w:rPr>
              <w:t xml:space="preserve">→  Connectivité : participation directe à TIPS via DCA dédié (Dedicated Cash Account BCE)</w:t>
            </w:r>
          </w:p>
          <w:p>
            <w:r>
              <w:rPr>
                <w:rFonts w:ascii="Arial" w:cs="Arial" w:eastAsia="Arial" w:hAnsi="Arial"/>
                <w:color w:val="333333"/>
                <w:sz w:val="21"/>
                <w:szCs w:val="21"/>
              </w:rPr>
              <w:t xml:space="preserve">→  Disponibilité garantie : 24/7/365, architecture redondée multi-datacenter</w:t>
            </w:r>
          </w:p>
          <w:p>
            <w:r>
              <w:rPr>
                <w:rFonts w:ascii="Arial" w:cs="Arial" w:eastAsia="Arial" w:hAnsi="Arial"/>
                <w:color w:val="333333"/>
                <w:sz w:val="21"/>
                <w:szCs w:val="21"/>
              </w:rPr>
              <w:t xml:space="preserve">→  Format : ISO 20022 natif sur l'ensemble de la chaîne SCT Inst</w:t>
            </w:r>
          </w:p>
          <w:p>
            <w:r>
              <w:rPr>
                <w:rFonts w:ascii="Arial" w:cs="Arial" w:eastAsia="Arial" w:hAnsi="Arial"/>
                <w:color w:val="333333"/>
                <w:sz w:val="21"/>
                <w:szCs w:val="21"/>
              </w:rPr>
              <w:t xml:space="preserve">→  Offre "sous participant" : BPCE acheminement les flux des établissements qui n'ont pas de DCA TIPS propre</w:t>
            </w:r>
          </w:p>
          <w:p>
            <w:r>
              <w:rPr>
                <w:rFonts w:ascii="Arial" w:cs="Arial" w:eastAsia="Arial" w:hAnsi="Arial"/>
                <w:color w:val="333333"/>
                <w:sz w:val="21"/>
                <w:szCs w:val="21"/>
              </w:rPr>
              <w:t xml:space="preserve">→  Offre "full service" : BPCE gère l'intégralité de la chaîne y compris l'interaction Core Banking</w:t>
            </w:r>
          </w:p>
        </w:tc>
      </w:tr>
    </w:tbl>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6DA4"/>
          <w:sz w:val="28"/>
          <w:szCs w:val="28"/>
        </w:rPr>
        <w:t xml:space="preserve">2.3 Les Partenariats Technologiques : Élargissement de l'Écosystème</w:t>
      </w:r>
    </w:p>
    <w:p>
      <w:pPr>
        <w:spacing w:after="80" w:before="80"/>
      </w:pPr>
      <w:r>
        <w:rPr>
          <w:rFonts w:ascii="Arial" w:cs="Arial" w:eastAsia="Arial" w:hAnsi="Arial"/>
          <w:b w:val="false"/>
          <w:bCs w:val="false"/>
          <w:color w:val="111111"/>
          <w:sz w:val="22"/>
          <w:szCs w:val="22"/>
        </w:rPr>
        <w:t xml:space="preserve">Au-delà de ses propres réseaux, BPCE Payment Services a développé une stratégie d'opérateur tiers pour d'autres établissements financiers. Cela amplifie les volumes traités et renforce l'exigence d'industrialisation.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Partenaire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Nature</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Apport pour les flux paiements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Skaleet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Éditeur SaaS core banking nouvelle génération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Connexion accélérée au SEPA (3-6 mois) pour EP/EME et fintechs. SCT, SCT Inst, SDD et processing carte intégrés.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Mambu</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Core banking cloud (260 institutions, 65 pays)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Accès aux schémas SEPA et traitement paiements temps réel pour clients Mambu (Spendesk, Natixis CIB Luxembourg).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Mainsys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Core banking, banque à distance, crédits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Processing des flux et monétique pour particuliers et professionnels via interface web et mobile.</w:t>
            </w:r>
          </w:p>
        </w:tc>
      </w:tr>
    </w:tbl>
    <w:p>
      <w:pPr>
        <w:spacing w:after="40" w:before="40"/>
      </w:pPr>
      <w:r>
        <w:t xml:space="preserve"/>
      </w:r>
    </w:p>
    <w:p>
      <w:pPr>
        <w:spacing w:after="80" w:before="80"/>
      </w:pPr>
      <w:r>
        <w:rPr>
          <w:rFonts w:ascii="Arial" w:cs="Arial" w:eastAsia="Arial" w:hAnsi="Arial"/>
          <w:b w:val="false"/>
          <w:bCs w:val="false"/>
          <w:color w:val="111111"/>
          <w:sz w:val="22"/>
          <w:szCs w:val="22"/>
        </w:rPr>
        <w:t xml:space="preserve">Ces partenariats ont un impact direct sur la complexité IT Flux : BPCE Payment Services n'est plus seulement le processeur du groupe BPCE mais un processeur tiers multi-clients. Les flux SCT/SDD/SCT Inst traitent des transactions pour des clients de profils très différents (grande banque de réseau, fintech d'une dizaine de collaborateurs, établissement de paiement spécialisé), ce qui multiplie les typologies de messages, les règles métier spécifiques, et les exigences de SLA différenciées.</w:t>
      </w:r>
    </w:p>
    <w:p>
      <w:pPr>
        <w:spacing w:after="40" w:before="40"/>
      </w:pPr>
      <w:r>
        <w:t xml:space="preserve"/>
      </w:r>
    </w:p>
    <w:p>
      <w:r>
        <w:br w:type="page"/>
      </w:r>
    </w:p>
    <w:p>
      <w:pPr>
        <w:pStyle w:val="Heading1"/>
        <w:pBdr>
          <w:bottom w:val="single" w:color="2E6DA4" w:sz="8" w:space="4"/>
        </w:pBdr>
        <w:spacing w:after="200" w:before="400"/>
      </w:pPr>
      <w:r>
        <w:rPr>
          <w:rFonts w:ascii="Arial" w:cs="Arial" w:eastAsia="Arial" w:hAnsi="Arial"/>
          <w:b/>
          <w:bCs/>
          <w:color w:val="1A3A5C"/>
          <w:sz w:val="36"/>
          <w:szCs w:val="36"/>
        </w:rPr>
        <w:t xml:space="preserve">3. L'Infrastructure de Place : STET, TIPS, T2, SWIFT</w:t>
      </w:r>
    </w:p>
    <w:p>
      <w:pPr>
        <w:spacing w:after="80" w:before="80"/>
      </w:pPr>
      <w:r>
        <w:rPr>
          <w:rFonts w:ascii="Arial" w:cs="Arial" w:eastAsia="Arial" w:hAnsi="Arial"/>
          <w:b w:val="false"/>
          <w:bCs w:val="false"/>
          <w:color w:val="111111"/>
          <w:sz w:val="22"/>
          <w:szCs w:val="22"/>
        </w:rPr>
        <w:t xml:space="preserve">Les flux bancaires ne transitent pas directement de banque à banque. Ils passent par une chaîne d'infrastructures de marché mutualisées, dont la maîtrise est indispensable pour comprendre les contraintes techniques imposées aux systèmes informatiques des banques.</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3.1 CORE(FR) et SEPA(EU) : les deux systèmes STET</w:t>
      </w:r>
    </w:p>
    <w:p>
      <w:pPr>
        <w:pStyle w:val="Heading3"/>
        <w:spacing w:after="80" w:before="200"/>
      </w:pPr>
      <w:r>
        <w:rPr>
          <w:rFonts w:ascii="Arial" w:cs="Arial" w:eastAsia="Arial" w:hAnsi="Arial"/>
          <w:b/>
          <w:bCs/>
          <w:color w:val="1A3A5C"/>
          <w:sz w:val="24"/>
          <w:szCs w:val="24"/>
        </w:rPr>
        <w:t xml:space="preserve">CORE(FR) — La plateforme nationale</w:t>
      </w:r>
    </w:p>
    <w:p>
      <w:pPr>
        <w:spacing w:after="80" w:before="80"/>
      </w:pPr>
      <w:r>
        <w:rPr>
          <w:rFonts w:ascii="Arial" w:cs="Arial" w:eastAsia="Arial" w:hAnsi="Arial"/>
          <w:b w:val="false"/>
          <w:bCs w:val="false"/>
          <w:color w:val="111111"/>
          <w:sz w:val="22"/>
          <w:szCs w:val="22"/>
        </w:rPr>
        <w:t xml:space="preserve">CORE (COmpensation REtail) est la chambre de compensation automatisée (ACH) française. Créée en 2008 pour remplacer l'ancien SIT (Système Interbancaire de Télécompensation), elle traite l'ensemble des paiements de détail français : SCT, SDD, mais aussi les formats domestiques hérités (MINOS : chèques, LCR, TIP, virements au format national).</w:t>
      </w:r>
    </w:p>
    <w:p>
      <w:pPr>
        <w:spacing w:after="40" w:before="40"/>
      </w:pPr>
      <w:r>
        <w:t xml:space="preserve"/>
      </w:r>
    </w:p>
    <w:p>
      <w:pPr>
        <w:spacing w:after="80" w:before="80"/>
      </w:pPr>
      <w:r>
        <w:rPr>
          <w:rFonts w:ascii="Arial" w:cs="Arial" w:eastAsia="Arial" w:hAnsi="Arial"/>
          <w:b w:val="false"/>
          <w:bCs w:val="false"/>
          <w:color w:val="111111"/>
          <w:sz w:val="22"/>
          <w:szCs w:val="22"/>
        </w:rPr>
        <w:t xml:space="preserve">La structure de traitement de CORE repose sur des cycles d'échange : le service SCT utilise 5 cycles dans la journée + 2 cycles nocturnes optionnels. Le service SDD règle sur 2 cycles séparés. La compensation multilatérale calcule les soldes nets entre les quelque 300 participants directs, et le règlement final des positions nettes s'effectue dans T2 une fois par jour (15h05-15h15).</w:t>
      </w:r>
    </w:p>
    <w:p>
      <w:pPr>
        <w:spacing w:after="40" w:before="40"/>
      </w:pPr>
      <w:r>
        <w:t xml:space="preserve"/>
      </w:r>
    </w:p>
    <w:p>
      <w:pPr>
        <w:pStyle w:val="Heading3"/>
        <w:spacing w:after="80" w:before="200"/>
      </w:pPr>
      <w:r>
        <w:rPr>
          <w:rFonts w:ascii="Arial" w:cs="Arial" w:eastAsia="Arial" w:hAnsi="Arial"/>
          <w:b/>
          <w:bCs/>
          <w:color w:val="1A3A5C"/>
          <w:sz w:val="24"/>
          <w:szCs w:val="24"/>
        </w:rPr>
        <w:t xml:space="preserve">SEPA(EU) — Le système dédié à l'instant payment</w:t>
      </w:r>
    </w:p>
    <w:p>
      <w:pPr>
        <w:spacing w:after="80" w:before="80"/>
      </w:pPr>
      <w:r>
        <w:rPr>
          <w:rFonts w:ascii="Arial" w:cs="Arial" w:eastAsia="Arial" w:hAnsi="Arial"/>
          <w:b w:val="false"/>
          <w:bCs w:val="false"/>
          <w:color w:val="111111"/>
          <w:sz w:val="22"/>
          <w:szCs w:val="22"/>
        </w:rPr>
        <w:t xml:space="preserve">Distinct de CORE(FR), le système SEPA(EU) opéré par STET est dédié aux virements instantanés SCT Inst à l'échelle européenne. Il fait office de système de compensation pour les flux instant payment entre banques françaises et vers les banques européennes participantes. Les positions sont ensuite réglées dans TIPS.</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3.2 TIPS : le Règlement Brut en Temps Réel de l'Instant Payment</w:t>
      </w:r>
    </w:p>
    <w:p>
      <w:pPr>
        <w:spacing w:after="80" w:before="80"/>
      </w:pPr>
      <w:r>
        <w:rPr>
          <w:rFonts w:ascii="Arial" w:cs="Arial" w:eastAsia="Arial" w:hAnsi="Arial"/>
          <w:b w:val="false"/>
          <w:bCs w:val="false"/>
          <w:color w:val="111111"/>
          <w:sz w:val="22"/>
          <w:szCs w:val="22"/>
        </w:rPr>
        <w:t xml:space="preserve">TIPS (TARGET Instant Payment Settlement) est la plateforme de la Banque Centrale Européenne lancée en novembre 2018. Son architecture est fondamentalement différente de CORE : il n'y a pas de compensation multilatérale, chaque transaction est réglée brut (transaction par transaction) et immédiatement.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Aspect</w:t>
            </w:r>
          </w:p>
        </w:tc>
        <w:tc>
          <w:tcPr>
            <w:tcW w:type="dxa" w:w="33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CORE/STET (SCT/SDD)</w:t>
            </w:r>
          </w:p>
        </w:tc>
        <w:tc>
          <w:tcPr>
            <w:tcW w:type="dxa" w:w="33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TIPS (SCT Inst)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Mode de règlement</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Compensation multilatérale différée</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Règlement brut en temps réel (RTGS-like)</w:t>
            </w:r>
          </w:p>
        </w:tc>
      </w:tr>
      <w:tr>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Fréquence</w:t>
            </w:r>
          </w:p>
        </w:tc>
        <w:tc>
          <w:tcPr>
            <w:tcW w:type="dxa" w:w="33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Plusieurs cycles / jour (batch)</w:t>
            </w:r>
          </w:p>
        </w:tc>
        <w:tc>
          <w:tcPr>
            <w:tcW w:type="dxa" w:w="33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Continu 24/7/365</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Compte utilisé</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Compte de règlement T2</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DCA TIPS (Dedicated Cash Account)</w:t>
            </w:r>
          </w:p>
        </w:tc>
      </w:tr>
      <w:tr>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Finalité</w:t>
            </w:r>
          </w:p>
        </w:tc>
        <w:tc>
          <w:tcPr>
            <w:tcW w:type="dxa" w:w="33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Une fois par jour dans T2</w:t>
            </w:r>
          </w:p>
        </w:tc>
        <w:tc>
          <w:tcPr>
            <w:tcW w:type="dxa" w:w="33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Immédiate et irrévocable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Netting</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Oui — soldes nets entre participants</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Non — chaque transaction individuellement</w:t>
            </w:r>
          </w:p>
        </w:tc>
      </w:tr>
      <w:tr>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Disponibilité opérateur</w:t>
            </w:r>
          </w:p>
        </w:tc>
        <w:tc>
          <w:tcPr>
            <w:tcW w:type="dxa" w:w="33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Fenêtres de maintenance possibles</w:t>
            </w:r>
          </w:p>
        </w:tc>
        <w:tc>
          <w:tcPr>
            <w:tcW w:type="dxa" w:w="33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Aucune interruption possible</w:t>
            </w:r>
          </w:p>
        </w:tc>
      </w:tr>
    </w:tbl>
    <w:p>
      <w:pPr>
        <w:spacing w:after="40" w:before="40"/>
      </w:pPr>
      <w:r>
        <w:t xml:space="preserve"/>
      </w:r>
    </w:p>
    <w:p>
      <w:pPr>
        <w:spacing w:after="80" w:before="80"/>
      </w:pPr>
      <w:r>
        <w:rPr>
          <w:rFonts w:ascii="Arial" w:cs="Arial" w:eastAsia="Arial" w:hAnsi="Arial"/>
          <w:b w:val="false"/>
          <w:bCs w:val="false"/>
          <w:color w:val="111111"/>
          <w:sz w:val="22"/>
          <w:szCs w:val="22"/>
        </w:rPr>
        <w:t xml:space="preserve">La réglementation européenne impose que tout établissement participant au SCT Inst soit joignable dans TIPS — soit comme titulaire d'un DCA TIPS direct, soit comme partie joignable via le DCA d'un participant direct. Pour les banques qui ne souhaitent pas ouvrir leur propre DCA TIPS, un opérateur comme BPCE Payment Services leur fournit l'accès en mode « sous-participant ».</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3.3 T2 (ex-TARGET2) : le RTGS de l'Eurosystème</w:t>
      </w:r>
    </w:p>
    <w:p>
      <w:pPr>
        <w:spacing w:after="80" w:before="80"/>
      </w:pPr>
      <w:r>
        <w:rPr>
          <w:rFonts w:ascii="Arial" w:cs="Arial" w:eastAsia="Arial" w:hAnsi="Arial"/>
          <w:b w:val="false"/>
          <w:bCs w:val="false"/>
          <w:color w:val="111111"/>
          <w:sz w:val="22"/>
          <w:szCs w:val="22"/>
        </w:rPr>
        <w:t xml:space="preserve">T2 est le Système de Règlement Brut en Temps Réel (Real-Time Gross Settlement) en euro de l'Eurosystème. Il a remplacé l'ancien TARGET2 en mars 2023 dans le cadre de la consolidation T2-T2S. Il intervient pour régler les soldes nets issus de CORE/STET en fin de journée, et coexiste avec TIPS pour les paiements instantanés.</w:t>
      </w:r>
    </w:p>
    <w:p>
      <w:pPr>
        <w:spacing w:after="40" w:before="40"/>
      </w:pPr>
      <w:r>
        <w:t xml:space="preserve"/>
      </w:r>
    </w:p>
    <w:p>
      <w:pPr>
        <w:spacing w:after="80" w:before="80"/>
      </w:pPr>
      <w:r>
        <w:rPr>
          <w:rFonts w:ascii="Arial" w:cs="Arial" w:eastAsia="Arial" w:hAnsi="Arial"/>
          <w:b w:val="false"/>
          <w:bCs w:val="false"/>
          <w:color w:val="111111"/>
          <w:sz w:val="22"/>
          <w:szCs w:val="22"/>
        </w:rPr>
        <w:t xml:space="preserve">La gestion de la liquidité intrajournalière dans T2 est un enjeu opérationnel et financier majeur pour les trésoriers bancaires : il faut avoir suffisamment de liquidités disponibles pour honorer les règlements CORE tout en maintenant le DCA TIPS suffisamment approvisionné pour les SCT Inst entrants/sortants.</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3.4 SWIFT : la Messagerie Financière Internationale</w:t>
      </w:r>
    </w:p>
    <w:p>
      <w:pPr>
        <w:spacing w:after="80" w:before="80"/>
      </w:pPr>
      <w:r>
        <w:rPr>
          <w:rFonts w:ascii="Arial" w:cs="Arial" w:eastAsia="Arial" w:hAnsi="Arial"/>
          <w:b w:val="false"/>
          <w:bCs w:val="false"/>
          <w:color w:val="111111"/>
          <w:sz w:val="22"/>
          <w:szCs w:val="22"/>
        </w:rPr>
        <w:t xml:space="preserve">SWIFT (Society for Worldwide Interbank Financial Telecommunication) est utilisé pour les communications inter-bancaires, notamment pour les paiements transfrontaliers hors zone SEPA et pour la messagerie vers TARGET2. C'est dans ce contexte que la migration ISO 20022 (standard CBPR+) est la plus impactante pour les équipes IT.</w:t>
      </w:r>
    </w:p>
    <w:p>
      <w:pPr>
        <w:spacing w:after="40" w:before="40"/>
      </w:pPr>
      <w:r>
        <w:t xml:space="preserve"/>
      </w:r>
    </w:p>
    <w:p>
      <w:r>
        <w:br w:type="page"/>
      </w:r>
    </w:p>
    <w:p>
      <w:pPr>
        <w:pStyle w:val="Heading1"/>
        <w:pBdr>
          <w:bottom w:val="single" w:color="2E6DA4" w:sz="8" w:space="4"/>
        </w:pBdr>
        <w:spacing w:after="200" w:before="400"/>
      </w:pPr>
      <w:r>
        <w:rPr>
          <w:rFonts w:ascii="Arial" w:cs="Arial" w:eastAsia="Arial" w:hAnsi="Arial"/>
          <w:b/>
          <w:bCs/>
          <w:color w:val="1A3A5C"/>
          <w:sz w:val="36"/>
          <w:szCs w:val="36"/>
        </w:rPr>
        <w:t xml:space="preserve">4. La Migration ISO 20022 : un Chantier Massif</w:t>
      </w:r>
    </w:p>
    <w:p>
      <w:pPr>
        <w:spacing w:after="80" w:before="80"/>
      </w:pPr>
      <w:r>
        <w:rPr>
          <w:rFonts w:ascii="Arial" w:cs="Arial" w:eastAsia="Arial" w:hAnsi="Arial"/>
          <w:b w:val="false"/>
          <w:bCs w:val="false"/>
          <w:color w:val="111111"/>
          <w:sz w:val="22"/>
          <w:szCs w:val="22"/>
        </w:rPr>
        <w:t xml:space="preserve">La migration ISO 20022 est l'un des chantiers techniques les plus importants de la décennie pour les systèmes d'information bancaires. Elle touche directement les flux SCT, SDD et SCT Inst, et se superpose à la démarche GreenOps du dépôt analysé.</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4.1 Qu'est-ce que ISO 20022 ?</w:t>
      </w:r>
    </w:p>
    <w:p>
      <w:pPr>
        <w:spacing w:after="80" w:before="80"/>
      </w:pPr>
      <w:r>
        <w:rPr>
          <w:rFonts w:ascii="Arial" w:cs="Arial" w:eastAsia="Arial" w:hAnsi="Arial"/>
          <w:b w:val="false"/>
          <w:bCs w:val="false"/>
          <w:color w:val="111111"/>
          <w:sz w:val="22"/>
          <w:szCs w:val="22"/>
        </w:rPr>
        <w:t xml:space="preserve">ISO 20022 est une norme internationale d'échange de données financières basée sur XML. Elle définit un modèle de données sémantiquement riche qui permet de véhiculer beaucoup plus d'informations qu'un message bancaire traditionnel : structuration complète des adresses, enrichissement des références de remise, identification des tiers avec leur LEI (Legal Entity Identifier), données de conformité KYC/AML intégrées aux messages de paiement.</w:t>
      </w:r>
    </w:p>
    <w:p>
      <w:pPr>
        <w:spacing w:after="40" w:before="40"/>
      </w:pPr>
      <w:r>
        <w:t xml:space="preserve"/>
      </w:r>
    </w:p>
    <w:p>
      <w:pPr>
        <w:spacing w:after="80" w:before="80"/>
      </w:pPr>
      <w:r>
        <w:rPr>
          <w:rFonts w:ascii="Arial" w:cs="Arial" w:eastAsia="Arial" w:hAnsi="Arial"/>
          <w:b w:val="false"/>
          <w:bCs w:val="false"/>
          <w:color w:val="111111"/>
          <w:sz w:val="22"/>
          <w:szCs w:val="22"/>
        </w:rPr>
        <w:t xml:space="preserve">Dans l'espace SEPA, les instruments SCT, SDD et SCT Inst utilisent déjà ISO 20022 depuis leur création (famille de messages pain.*/pacs.*/camt.*). Mais la migration de 2023-2025 introduit des versions enrichies de ces messages avec des exigences de structuration plus strictes, notamment sur les adresses des donneurs d'ordre et bénéficiaires.</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4.2 Le Calendrier de la Migration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4320"/>
      </w:tblGrid>
      <w:tr>
        <w:trPr>
          <w:tblHeader/>
        </w:trPr>
        <w:tc>
          <w:tcPr>
            <w:tcW w:type="dxa" w:w="14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Date</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Étape</w:t>
            </w:r>
          </w:p>
        </w:tc>
        <w:tc>
          <w:tcPr>
            <w:tcW w:type="dxa" w:w="43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Impact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Mars 2023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Démarrage de la coexistence MT / ISO 20022 pour CBPR+ (SWIFT transfrontalier)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Les banques peuvent désormais envoyer ET recevoir des messages ISO 20022 pour les paiements transfrontaliers.</w:t>
            </w:r>
          </w:p>
        </w:tc>
      </w:tr>
      <w:tr>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Novembre 2025</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Fin de la période de coexistence pour les paiements — ISO 20022 obligatoire pour tous les messages (MT abandonnés)</w:t>
            </w:r>
          </w:p>
        </w:tc>
        <w:tc>
          <w:tcPr>
            <w:tcW w:type="dxa" w:w="43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Tous les messages de paiement transfrontalier doivent être ISO 20022. Fin des formats MT102, MT103, MT202, etc.</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Novembre 2025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Obligation d'adresses structurées hybrides (minimum) pour les paiements incluant un ultimate débiteur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Impacts sur tous les applicatifs métier qui génèrent des ordres de paiement.</w:t>
            </w:r>
          </w:p>
        </w:tc>
      </w:tr>
      <w:tr>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Novembre 2026</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Fin des adresses non structurées pour les paiements hors EEE</w:t>
            </w:r>
          </w:p>
        </w:tc>
        <w:tc>
          <w:tcPr>
            <w:tcW w:type="dxa" w:w="43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Les entreprises doivent également se conformer. Les systèmes bancaires doivent rejeter les messages non conformes.</w:t>
            </w:r>
          </w:p>
        </w:tc>
      </w:tr>
    </w:tbl>
    <w:p>
      <w:pPr>
        <w:spacing w:after="40" w:before="40"/>
      </w:pPr>
      <w:r>
        <w:t xml:space="preserve"/>
      </w:r>
    </w:p>
    <w:p>
      <w:pPr>
        <w:pStyle w:val="Heading2"/>
        <w:spacing w:after="120" w:before="280"/>
      </w:pPr>
      <w:r>
        <w:rPr>
          <w:rFonts w:ascii="Arial" w:cs="Arial" w:eastAsia="Arial" w:hAnsi="Arial"/>
          <w:b/>
          <w:bCs/>
          <w:color w:val="2E6DA4"/>
          <w:sz w:val="28"/>
          <w:szCs w:val="28"/>
        </w:rPr>
        <w:t xml:space="preserve">4.3 Impact Concret sur les Systèmes IT Flux</w:t>
      </w:r>
    </w:p>
    <w:p>
      <w:pPr>
        <w:spacing w:after="80" w:before="80"/>
      </w:pPr>
      <w:r>
        <w:rPr>
          <w:rFonts w:ascii="Arial" w:cs="Arial" w:eastAsia="Arial" w:hAnsi="Arial"/>
          <w:b w:val="false"/>
          <w:bCs w:val="false"/>
          <w:color w:val="111111"/>
          <w:sz w:val="22"/>
          <w:szCs w:val="22"/>
        </w:rPr>
        <w:t xml:space="preserve">La migration ISO 20022 n'est pas un simple changement de format. Elle implique une refonte en profondeur de nombreux composants des SI bancaires de traitement des flux :</w:t>
      </w:r>
    </w:p>
    <w:p>
      <w:pPr>
        <w:spacing w:after="40" w:before="40"/>
      </w:pPr>
      <w:r>
        <w:t xml:space="preserve"/>
      </w:r>
    </w:p>
    <w:p>
      <w:pPr>
        <w:pStyle w:val="ListParagraph"/>
        <w:numPr>
          <w:ilvl w:val="0"/>
          <w:numId w:val="2"/>
        </w:numPr>
        <w:spacing w:after="40" w:before="40"/>
      </w:pPr>
      <w:r>
        <w:rPr>
          <w:rFonts w:ascii="Arial" w:cs="Arial" w:eastAsia="Arial" w:hAnsi="Arial"/>
          <w:color w:val="111111"/>
          <w:sz w:val="22"/>
          <w:szCs w:val="22"/>
        </w:rPr>
        <w:t xml:space="preserve">Parsers et validateurs XML : les règles de validation des messages évoluent (nouvelles balises obligatoires, contraintes de structuration des adresses, longueur des champs modifiée)</w:t>
      </w:r>
    </w:p>
    <w:p>
      <w:pPr>
        <w:pStyle w:val="ListParagraph"/>
        <w:numPr>
          <w:ilvl w:val="0"/>
          <w:numId w:val="2"/>
        </w:numPr>
        <w:spacing w:after="40" w:before="40"/>
      </w:pPr>
      <w:r>
        <w:rPr>
          <w:rFonts w:ascii="Arial" w:cs="Arial" w:eastAsia="Arial" w:hAnsi="Arial"/>
          <w:color w:val="111111"/>
          <w:sz w:val="22"/>
          <w:szCs w:val="22"/>
        </w:rPr>
        <w:t xml:space="preserve">Mappers de transformation : les règles de conversion entre formats internes et ISO 20022 doivent être mises à jour pour chaque version de message</w:t>
      </w:r>
    </w:p>
    <w:p>
      <w:pPr>
        <w:pStyle w:val="ListParagraph"/>
        <w:numPr>
          <w:ilvl w:val="0"/>
          <w:numId w:val="2"/>
        </w:numPr>
        <w:spacing w:after="40" w:before="40"/>
      </w:pPr>
      <w:r>
        <w:rPr>
          <w:rFonts w:ascii="Arial" w:cs="Arial" w:eastAsia="Arial" w:hAnsi="Arial"/>
          <w:color w:val="111111"/>
          <w:sz w:val="22"/>
          <w:szCs w:val="22"/>
        </w:rPr>
        <w:t xml:space="preserve">Systèmes MFT (Managed File Transfer) : les métadonnées des fichiers d'échange et les protocoles de notification doivent évoluer</w:t>
      </w:r>
    </w:p>
    <w:p>
      <w:pPr>
        <w:pStyle w:val="ListParagraph"/>
        <w:numPr>
          <w:ilvl w:val="0"/>
          <w:numId w:val="2"/>
        </w:numPr>
        <w:spacing w:after="40" w:before="40"/>
      </w:pPr>
      <w:r>
        <w:rPr>
          <w:rFonts w:ascii="Arial" w:cs="Arial" w:eastAsia="Arial" w:hAnsi="Arial"/>
          <w:color w:val="111111"/>
          <w:sz w:val="22"/>
          <w:szCs w:val="22"/>
        </w:rPr>
        <w:t xml:space="preserve">Bases de référentiel : les tables de données de référence (BIC, IBAN, LEI, listes de sanctions) sont plus sollicitées et doivent être plus riches</w:t>
      </w:r>
    </w:p>
    <w:p>
      <w:pPr>
        <w:pStyle w:val="ListParagraph"/>
        <w:numPr>
          <w:ilvl w:val="0"/>
          <w:numId w:val="2"/>
        </w:numPr>
        <w:spacing w:after="40" w:before="40"/>
      </w:pPr>
      <w:r>
        <w:rPr>
          <w:rFonts w:ascii="Arial" w:cs="Arial" w:eastAsia="Arial" w:hAnsi="Arial"/>
          <w:color w:val="111111"/>
          <w:sz w:val="22"/>
          <w:szCs w:val="22"/>
        </w:rPr>
        <w:t xml:space="preserve">Outils de monitoring et de réconciliation : les rapports de rejet et les messages d'erreur changent de structure</w:t>
      </w:r>
    </w:p>
    <w:p>
      <w:pPr>
        <w:spacing w:after="40" w:before="40"/>
      </w:pPr>
      <w:r>
        <w:t xml:space="preserve"/>
      </w:r>
    </w:p>
    <w:p>
      <w:pPr>
        <w:spacing w:after="80" w:before="80"/>
      </w:pPr>
      <w:r>
        <w:rPr>
          <w:rFonts w:ascii="Arial" w:cs="Arial" w:eastAsia="Arial" w:hAnsi="Arial"/>
          <w:b w:val="false"/>
          <w:bCs w:val="false"/>
          <w:color w:val="111111"/>
          <w:sz w:val="22"/>
          <w:szCs w:val="22"/>
        </w:rPr>
        <w:t xml:space="preserve">Dans une logique GreenOps, cette migration représente paradoxalement une opportunité : chaque composant qui doit être reécrit peut l'être avec des pratiques d'éco-conception, en appliquant dès le départ les principes de sobriété (compression des données, gestion efficace de la mémoire, limitation des appels redondants). C'est l'approche recommandée dans le dépôt : profiter des chantiers réglementaires obligatoires pour intégrer la dimension carbone.</w:t>
      </w:r>
    </w:p>
    <w:p>
      <w:pPr>
        <w:spacing w:after="40" w:before="40"/>
      </w:pPr>
      <w:r>
        <w:t xml:space="preserve"/>
      </w:r>
    </w:p>
    <w:p>
      <w:r>
        <w:br w:type="page"/>
      </w:r>
    </w:p>
    <w:p>
      <w:pPr>
        <w:pStyle w:val="Heading1"/>
        <w:pBdr>
          <w:bottom w:val="single" w:color="2E6DA4" w:sz="8" w:space="4"/>
        </w:pBdr>
        <w:spacing w:after="200" w:before="400"/>
      </w:pPr>
      <w:r>
        <w:rPr>
          <w:rFonts w:ascii="Arial" w:cs="Arial" w:eastAsia="Arial" w:hAnsi="Arial"/>
          <w:b/>
          <w:bCs/>
          <w:color w:val="1A3A5C"/>
          <w:sz w:val="36"/>
          <w:szCs w:val="36"/>
        </w:rPr>
        <w:t xml:space="preserve">5. Le Contexte Réglementaire 2024-2026</w:t>
      </w:r>
    </w:p>
    <w:p>
      <w:pPr>
        <w:spacing w:after="80" w:before="80"/>
      </w:pPr>
      <w:r>
        <w:rPr>
          <w:rFonts w:ascii="Arial" w:cs="Arial" w:eastAsia="Arial" w:hAnsi="Arial"/>
          <w:b w:val="false"/>
          <w:bCs w:val="false"/>
          <w:color w:val="111111"/>
          <w:sz w:val="22"/>
          <w:szCs w:val="22"/>
        </w:rPr>
        <w:t xml:space="preserve">Le domaine IT Flux se trouve à l'intersection de plusieurs chantiers réglementaires simultanés, créant une pression sans précédent sur les équipes techniques. La maîtrise de ce contexte est indispensable pour comprendre les priorités et les contraintes du dépôt GreenOps.</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5.1 Règlement Européen 2024/886 : l'Instant Payment Obligatoire</w:t>
      </w:r>
    </w:p>
    <w:p>
      <w:pPr>
        <w:spacing w:after="80" w:before="80"/>
      </w:pPr>
      <w:r>
        <w:rPr>
          <w:rFonts w:ascii="Arial" w:cs="Arial" w:eastAsia="Arial" w:hAnsi="Arial"/>
          <w:b w:val="false"/>
          <w:bCs w:val="false"/>
          <w:color w:val="111111"/>
          <w:sz w:val="22"/>
          <w:szCs w:val="22"/>
        </w:rPr>
        <w:t xml:space="preserve">Le règlement européen 2024/886 du 13 mars 2024 est l'un des textes les plus structurants pour les flux bancaires depuis la création du SEPA. Il impose aux prestataires de services de paiement (PSP) de l'espace euro de proposer le virement instantané aux mêmes tarifs que le virement classique.</w:t>
      </w:r>
    </w:p>
    <w:p>
      <w:pPr>
        <w:spacing w:after="40" w:before="40"/>
      </w:pPr>
      <w:r>
        <w:t xml:space="preserve"/>
      </w:r>
    </w:p>
    <w:p>
      <w:pPr>
        <w:spacing w:after="80" w:before="80"/>
      </w:pPr>
      <w:r>
        <w:rPr>
          <w:rFonts w:ascii="Arial" w:cs="Arial" w:eastAsia="Arial" w:hAnsi="Arial"/>
          <w:b w:val="false"/>
          <w:bCs w:val="false"/>
          <w:color w:val="111111"/>
          <w:sz w:val="22"/>
          <w:szCs w:val="22"/>
        </w:rPr>
        <w:t xml:space="preserve">Les implications sont profondes et immédiates. D'abord sur le volume : en rendant le SCT Inst aussi peu coûteux que le SCT classique, le règlement va provoquer une migration massive des usages vers l'instant payment. L'infrastructure qui traitait quelques pourcents des virements en mode instantané va devoir absorber une proportion croissante des flux totaux. Ensuite sur la disponibilité : le SCT Inst, conçu pour être disponible 24/7/365, va être utilisé à des heures auxquelles les systèmes batch traditionnels ne fonctionnaient pas — le week-end, la nuit, les jours fériés. Enfin sur la gestion de la liquidité : avec plus de SCT Inst, les besoins en liquidités sur le DCA TIPS augmentent, et le pilotage de la trésorerie intrajournalière devient plus complexe.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D4" w:val="clear"/>
            <w:tcMar>
              <w:top w:type="dxa" w:w="120"/>
              <w:left w:type="dxa" w:w="180"/>
              <w:bottom w:type="dxa" w:w="120"/>
              <w:right w:type="dxa" w:w="180"/>
            </w:tcMar>
          </w:tcPr>
          <w:p>
            <w:r>
              <w:rPr>
                <w:rFonts w:ascii="Arial" w:cs="Arial" w:eastAsia="Arial" w:hAnsi="Arial"/>
                <w:b/>
                <w:bCs/>
                <w:color w:val="C05900"/>
                <w:sz w:val="22"/>
                <w:szCs w:val="22"/>
              </w:rPr>
              <w:t xml:space="preserve">Impact sur la démarche GreenOps</w:t>
            </w:r>
          </w:p>
          <w:p>
            <w:r>
              <w:rPr>
                <w:rFonts w:ascii="Arial" w:cs="Arial" w:eastAsia="Arial" w:hAnsi="Arial"/>
                <w:color w:val="333333"/>
                <w:sz w:val="22"/>
                <w:szCs w:val="22"/>
              </w:rPr>
              <w:t xml:space="preserve">La montée en charge du SCT Inst est le scénario central du dépôt. Les modèles mathématiques de files d'attente M/M/1 et de scheduling sont directement liés à l'anticipation de cette croissance volumique. Plus les volumes SCT Inst augmentent, plus le nombre de retries potentiels, de timeouts, et de re-traitements augmente — et avec eux, l'empreinte carbone applicative.</w:t>
            </w:r>
          </w:p>
        </w:tc>
      </w:tr>
    </w:tbl>
    <w:p>
      <w:pPr>
        <w:spacing w:after="40" w:before="40"/>
      </w:pPr>
      <w:r>
        <w:t xml:space="preserve"/>
      </w:r>
    </w:p>
    <w:p>
      <w:pPr>
        <w:pStyle w:val="Heading2"/>
        <w:spacing w:after="120" w:before="280"/>
      </w:pPr>
      <w:r>
        <w:rPr>
          <w:rFonts w:ascii="Arial" w:cs="Arial" w:eastAsia="Arial" w:hAnsi="Arial"/>
          <w:b/>
          <w:bCs/>
          <w:color w:val="2E6DA4"/>
          <w:sz w:val="28"/>
          <w:szCs w:val="28"/>
        </w:rPr>
        <w:t xml:space="preserve">5.2 DORA : Digital Operational Resilience Act (janvier 2025)</w:t>
      </w:r>
    </w:p>
    <w:p>
      <w:pPr>
        <w:spacing w:after="80" w:before="80"/>
      </w:pPr>
      <w:r>
        <w:rPr>
          <w:rFonts w:ascii="Arial" w:cs="Arial" w:eastAsia="Arial" w:hAnsi="Arial"/>
          <w:b w:val="false"/>
          <w:bCs w:val="false"/>
          <w:color w:val="111111"/>
          <w:sz w:val="22"/>
          <w:szCs w:val="22"/>
        </w:rPr>
        <w:t xml:space="preserve">DORA (règlement UE 2022/2554) est entré en application le 17 janvier 2025. Il constitue le premier cadre réglementaire unifié européen en matière de résilience opérationnelle numérique pour le secteur financier.</w:t>
      </w:r>
    </w:p>
    <w:p>
      <w:pPr>
        <w:spacing w:after="40" w:before="40"/>
      </w:pPr>
      <w:r>
        <w:t xml:space="preserve"/>
      </w:r>
    </w:p>
    <w:p>
      <w:pPr>
        <w:pStyle w:val="Heading3"/>
        <w:spacing w:after="80" w:before="200"/>
      </w:pPr>
      <w:r>
        <w:rPr>
          <w:rFonts w:ascii="Arial" w:cs="Arial" w:eastAsia="Arial" w:hAnsi="Arial"/>
          <w:b/>
          <w:bCs/>
          <w:color w:val="1A3A5C"/>
          <w:sz w:val="24"/>
          <w:szCs w:val="24"/>
        </w:rPr>
        <w:t xml:space="preserve">Les quatre piliers de DORA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Pilier</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Exigences principales</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Impact IT Flux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Gestion du risque TIC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Cartographie des actifs, politiques de sécurité, procédures de gestion des incidents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Cartographier tous les composants du flux SCT/SDD/SCT Inst, leurs dépendances et leur criticité</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Reporting des incidents</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Classification obligatoire, notification aux autorités sous 24h pour les incidents majeurs</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Les incidents sur les flux paiements (indisponibilité SCT Inst, retards SCT, rejets SDD anormaux) doivent être remontés à l'ACPR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Tests de résilience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Tests de pénétration pilotés par la menace (TLPT), tests de continuité</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Les composants critiques (workers SCT Inst, connectivité TIPS) doivent être testés régulièrement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Risque tiers</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Registre contractuel des fournisseurs TIC, supervision des fournisseurs critiques</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Clear2Pay/FIS, STET, les fournisseurs cloud utilisés dans la chaîne flux doivent être documentés et évalués</w:t>
            </w:r>
          </w:p>
        </w:tc>
      </w:tr>
    </w:tbl>
    <w:p>
      <w:pPr>
        <w:spacing w:after="40" w:before="40"/>
      </w:pPr>
      <w:r>
        <w:t xml:space="preserve"/>
      </w:r>
    </w:p>
    <w:p>
      <w:pPr>
        <w:spacing w:after="80" w:before="80"/>
      </w:pPr>
      <w:r>
        <w:rPr>
          <w:rFonts w:ascii="Arial" w:cs="Arial" w:eastAsia="Arial" w:hAnsi="Arial"/>
          <w:b w:val="false"/>
          <w:bCs w:val="false"/>
          <w:color w:val="111111"/>
          <w:sz w:val="22"/>
          <w:szCs w:val="22"/>
        </w:rPr>
        <w:t xml:space="preserve">Pour les équipes IT Flux, DORA crée une tension productive avec la démarche GreenOps : toute modification d'un composant classé critique (ordonnanceur, bus MFT, workers SCT Inst) nécessite un test de résilience préalable. Cela signifie que les optimisations GreenOps qui touchent ces composants doivent être planifiées dans un cycle de qualification plus long. C'est exactement pourquoi le dépôt propose une approche en vagues progressives (Quick Wins non-intrusifs d'abord, optimisations structurelles ensuite) et des scénarios A/B/C selon le niveau de risque accepté.</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5.3 CSRD : Corporate Sustainability Reporting Directive</w:t>
      </w:r>
    </w:p>
    <w:p>
      <w:pPr>
        <w:spacing w:after="80" w:before="80"/>
      </w:pPr>
      <w:r>
        <w:rPr>
          <w:rFonts w:ascii="Arial" w:cs="Arial" w:eastAsia="Arial" w:hAnsi="Arial"/>
          <w:b w:val="false"/>
          <w:bCs w:val="false"/>
          <w:color w:val="111111"/>
          <w:sz w:val="22"/>
          <w:szCs w:val="22"/>
        </w:rPr>
        <w:t xml:space="preserve">La directive CSRD (2022/2464) impose aux grandes entreprises européennes un reporting extra-financier standardisé, incluant l'empreinte carbone de leurs activités. Pour les banques comme BPCE, cela inclut l'empreinte de leurs systèmes informatiques — et donc des flux de paiements.</w:t>
      </w:r>
    </w:p>
    <w:p>
      <w:pPr>
        <w:spacing w:after="40" w:before="40"/>
      </w:pPr>
      <w:r>
        <w:t xml:space="preserve"/>
      </w:r>
    </w:p>
    <w:p>
      <w:pPr>
        <w:spacing w:after="80" w:before="80"/>
      </w:pPr>
      <w:r>
        <w:rPr>
          <w:rFonts w:ascii="Arial" w:cs="Arial" w:eastAsia="Arial" w:hAnsi="Arial"/>
          <w:b w:val="false"/>
          <w:bCs w:val="false"/>
          <w:color w:val="111111"/>
          <w:sz w:val="22"/>
          <w:szCs w:val="22"/>
        </w:rPr>
        <w:t xml:space="preserve">La norme ESRS S1 (Social) et ESRS E1 (Environnement) imposent une quantification de l'empreinte carbone par scope (1, 2, 3). L'IT des grandes banques françaises entre dans le scope 3 de leurs clients et dans leurs propres scopes 1 et 2 selon la nature des actifs. Le dépôt GreenOps utilise la métrique SCI (Software Carbon Intensity) qui est parfaitement alignée avec les besoins de reporting CSRD : elle permet de mesurer les gCO2e par transaction, ce qui est exactement ce que les rapports de durabilité devront publier.</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6DA4"/>
          <w:sz w:val="28"/>
          <w:szCs w:val="28"/>
        </w:rPr>
        <w:t xml:space="preserve">5.4 DSP2 et la Prochaine DSP3 : Open Banking et Authentification Forte</w:t>
      </w:r>
    </w:p>
    <w:p>
      <w:pPr>
        <w:spacing w:after="80" w:before="80"/>
      </w:pPr>
      <w:r>
        <w:rPr>
          <w:rFonts w:ascii="Arial" w:cs="Arial" w:eastAsia="Arial" w:hAnsi="Arial"/>
          <w:b w:val="false"/>
          <w:bCs w:val="false"/>
          <w:color w:val="111111"/>
          <w:sz w:val="22"/>
          <w:szCs w:val="22"/>
        </w:rPr>
        <w:t xml:space="preserve">La DSP2 (Directive sur les Services de Paiement 2, en vigueur depuis 2018) a imposé l'authentification forte (SCA — Strong Customer Authentication) pour toutes les transactions de paiement en ligne au-dessus de 30€. Elle a également ouvert les données bancaires aux TPP (Third Party Providers) via des API standardisées — c'est la base de l'open banking.</w:t>
      </w:r>
    </w:p>
    <w:p>
      <w:pPr>
        <w:spacing w:after="40" w:before="40"/>
      </w:pPr>
      <w:r>
        <w:t xml:space="preserve"/>
      </w:r>
    </w:p>
    <w:p>
      <w:pPr>
        <w:spacing w:after="80" w:before="80"/>
      </w:pPr>
      <w:r>
        <w:rPr>
          <w:rFonts w:ascii="Arial" w:cs="Arial" w:eastAsia="Arial" w:hAnsi="Arial"/>
          <w:b w:val="false"/>
          <w:bCs w:val="false"/>
          <w:color w:val="111111"/>
          <w:sz w:val="22"/>
          <w:szCs w:val="22"/>
        </w:rPr>
        <w:t xml:space="preserve">La future DSP3, dont la proposition de la Commission européenne est attendue pour être adoptée dans les années à venir, ira plus loin dans la standardisation des API et le renforcement de la lutte contre la fraude. Pour les équipes IT Flux, cela représente une couche supplémentaire d'exigences sur les composants d'authentification, de gestion des consentements, et de routage des ordres de paiement initiés via API.</w:t>
      </w:r>
    </w:p>
    <w:p>
      <w:pPr>
        <w:spacing w:after="40" w:before="40"/>
      </w:pPr>
      <w:r>
        <w:t xml:space="preserve"/>
      </w:r>
    </w:p>
    <w:p>
      <w:r>
        <w:br w:type="page"/>
      </w:r>
    </w:p>
    <w:p>
      <w:pPr>
        <w:pStyle w:val="Heading1"/>
        <w:pBdr>
          <w:bottom w:val="single" w:color="2E6DA4" w:sz="8" w:space="4"/>
        </w:pBdr>
        <w:spacing w:after="200" w:before="400"/>
      </w:pPr>
      <w:r>
        <w:rPr>
          <w:rFonts w:ascii="Arial" w:cs="Arial" w:eastAsia="Arial" w:hAnsi="Arial"/>
          <w:b/>
          <w:bCs/>
          <w:color w:val="1A3A5C"/>
          <w:sz w:val="36"/>
          <w:szCs w:val="36"/>
        </w:rPr>
        <w:t xml:space="preserve">6. Green IT &amp; Flux Paiements : Mesure, Enjeux, Leviers</w:t>
      </w:r>
    </w:p>
    <w:p>
      <w:pPr>
        <w:spacing w:after="80" w:before="80"/>
      </w:pPr>
      <w:r>
        <w:rPr>
          <w:rFonts w:ascii="Arial" w:cs="Arial" w:eastAsia="Arial" w:hAnsi="Arial"/>
          <w:b w:val="false"/>
          <w:bCs w:val="false"/>
          <w:color w:val="111111"/>
          <w:sz w:val="22"/>
          <w:szCs w:val="22"/>
        </w:rPr>
        <w:t xml:space="preserve">La démarche GreenOps appliquée aux flux bancaires est un champ émergent, mais les enjeux sont très concrets. Voici une analyse détaillée de ce que signifie décarboner l'IT des paiements.</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6.1 Pourquoi les Flux Paiements Consomment de l'Énergie</w:t>
      </w:r>
    </w:p>
    <w:p>
      <w:pPr>
        <w:spacing w:after="80" w:before="80"/>
      </w:pPr>
      <w:r>
        <w:rPr>
          <w:rFonts w:ascii="Arial" w:cs="Arial" w:eastAsia="Arial" w:hAnsi="Arial"/>
          <w:b w:val="false"/>
          <w:bCs w:val="false"/>
          <w:color w:val="111111"/>
          <w:sz w:val="22"/>
          <w:szCs w:val="22"/>
        </w:rPr>
        <w:t xml:space="preserve">Contrairement à d'autres domaines applicatifs, les systèmes de traitement des flux paiements ont des caractéristiques de consommation énergétique spécifiques :</w:t>
      </w:r>
    </w:p>
    <w:p>
      <w:pPr>
        <w:spacing w:after="40" w:before="40"/>
      </w:pPr>
      <w:r>
        <w:t xml:space="preserve"/>
      </w:r>
    </w:p>
    <w:p>
      <w:pPr>
        <w:pStyle w:val="ListParagraph"/>
        <w:numPr>
          <w:ilvl w:val="0"/>
          <w:numId w:val="2"/>
        </w:numPr>
        <w:spacing w:after="40" w:before="40"/>
      </w:pPr>
      <w:r>
        <w:rPr>
          <w:rFonts w:ascii="Arial" w:cs="Arial" w:eastAsia="Arial" w:hAnsi="Arial"/>
          <w:color w:val="111111"/>
          <w:sz w:val="22"/>
          <w:szCs w:val="22"/>
        </w:rPr>
        <w:t xml:space="preserve">Volumétrie massive et cyclique : des dizaines de millions de transactions par jour, avec des pics marqués en fin de mois, en début de semaine, à certaines heures</w:t>
      </w:r>
    </w:p>
    <w:p>
      <w:pPr>
        <w:pStyle w:val="ListParagraph"/>
        <w:numPr>
          <w:ilvl w:val="0"/>
          <w:numId w:val="2"/>
        </w:numPr>
        <w:spacing w:after="40" w:before="40"/>
      </w:pPr>
      <w:r>
        <w:rPr>
          <w:rFonts w:ascii="Arial" w:cs="Arial" w:eastAsia="Arial" w:hAnsi="Arial"/>
          <w:color w:val="111111"/>
          <w:sz w:val="22"/>
          <w:szCs w:val="22"/>
        </w:rPr>
        <w:t xml:space="preserve">Double régime de traitement : batch nocturne intense (SCT/SDD) + temps réel continu (SCT Inst) — deux profils de charge très différents sur les mêmes infrastructures</w:t>
      </w:r>
    </w:p>
    <w:p>
      <w:pPr>
        <w:pStyle w:val="ListParagraph"/>
        <w:numPr>
          <w:ilvl w:val="0"/>
          <w:numId w:val="2"/>
        </w:numPr>
        <w:spacing w:after="40" w:before="40"/>
      </w:pPr>
      <w:r>
        <w:rPr>
          <w:rFonts w:ascii="Arial" w:cs="Arial" w:eastAsia="Arial" w:hAnsi="Arial"/>
          <w:color w:val="111111"/>
          <w:sz w:val="22"/>
          <w:szCs w:val="22"/>
        </w:rPr>
        <w:t xml:space="preserve">Redondance élevée imposée par les SLA : les composants critiques sont actifs-actifs, consommant de l'énergie même sans charge</w:t>
      </w:r>
    </w:p>
    <w:p>
      <w:pPr>
        <w:pStyle w:val="ListParagraph"/>
        <w:numPr>
          <w:ilvl w:val="0"/>
          <w:numId w:val="2"/>
        </w:numPr>
        <w:spacing w:after="40" w:before="40"/>
      </w:pPr>
      <w:r>
        <w:rPr>
          <w:rFonts w:ascii="Arial" w:cs="Arial" w:eastAsia="Arial" w:hAnsi="Arial"/>
          <w:color w:val="111111"/>
          <w:sz w:val="22"/>
          <w:szCs w:val="22"/>
        </w:rPr>
        <w:t xml:space="preserve">Traitements de réconciliation et de contrôle : chaque transaction génère des événements de log, d'audit, de monitoring qui consomment du stockage et du CPU en continu</w:t>
      </w:r>
    </w:p>
    <w:p>
      <w:pPr>
        <w:pStyle w:val="ListParagraph"/>
        <w:numPr>
          <w:ilvl w:val="0"/>
          <w:numId w:val="2"/>
        </w:numPr>
        <w:spacing w:after="40" w:before="40"/>
      </w:pPr>
      <w:r>
        <w:rPr>
          <w:rFonts w:ascii="Arial" w:cs="Arial" w:eastAsia="Arial" w:hAnsi="Arial"/>
          <w:color w:val="111111"/>
          <w:sz w:val="22"/>
          <w:szCs w:val="22"/>
        </w:rPr>
        <w:t xml:space="preserve">Mainframe legacy et serveurs modernes coexistants : les mainframes BPCE (z/OS) traitent une partie des flux avec une efficacité énergétique différente des serveurs x86</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6.2 La Métrique SCI Appliquée aux Paiements</w:t>
      </w:r>
    </w:p>
    <w:p>
      <w:pPr>
        <w:spacing w:after="80" w:before="80"/>
      </w:pPr>
      <w:r>
        <w:rPr>
          <w:rFonts w:ascii="Arial" w:cs="Arial" w:eastAsia="Arial" w:hAnsi="Arial"/>
          <w:b w:val="false"/>
          <w:bCs w:val="false"/>
          <w:color w:val="111111"/>
          <w:sz w:val="22"/>
          <w:szCs w:val="22"/>
        </w:rPr>
        <w:t xml:space="preserve">Le dépôt utilise la métrique SCI (Software Carbon Intensity), définie par la Green Software Foundation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F2E8" w:val="clear"/>
            <w:tcMar>
              <w:top w:type="dxa" w:w="120"/>
              <w:left w:type="dxa" w:w="180"/>
              <w:bottom w:type="dxa" w:w="120"/>
              <w:right w:type="dxa" w:w="180"/>
            </w:tcMar>
          </w:tcPr>
          <w:p>
            <w:r>
              <w:rPr>
                <w:rFonts w:ascii="Arial" w:cs="Arial" w:eastAsia="Arial" w:hAnsi="Arial"/>
                <w:b/>
                <w:bCs/>
                <w:color w:val="1E7A45"/>
                <w:sz w:val="22"/>
                <w:szCs w:val="22"/>
              </w:rPr>
              <w:t xml:space="preserve">Formule SCI pour les flux paiements</w:t>
            </w:r>
          </w:p>
          <w:p>
            <w:r>
              <w:rPr>
                <w:rFonts w:ascii="Arial" w:cs="Arial" w:eastAsia="Arial" w:hAnsi="Arial"/>
                <w:color w:val="333333"/>
                <w:sz w:val="22"/>
                <w:szCs w:val="22"/>
              </w:rPr>
              <w:t xml:space="preserve">SCI = ((E × I) + M) / R
Où : E = énergie consommée (kWh), I = intensité carbone du réseau électrique (gCO2e/kWh), M = carbone embarqué des équipements (embodied carbon), R = unité fonctionnelle = 1 transaction traitée
Résultat en gCO2e par transaction — directement comparable entre SCT, SDD et SCT Inst.</w:t>
            </w:r>
          </w:p>
        </w:tc>
      </w:tr>
    </w:tbl>
    <w:p>
      <w:pPr>
        <w:spacing w:after="40" w:before="40"/>
      </w:pPr>
      <w:r>
        <w:t xml:space="preserve"/>
      </w:r>
    </w:p>
    <w:p>
      <w:pPr>
        <w:spacing w:after="80" w:before="80"/>
      </w:pPr>
      <w:r>
        <w:rPr>
          <w:rFonts w:ascii="Arial" w:cs="Arial" w:eastAsia="Arial" w:hAnsi="Arial"/>
          <w:b w:val="false"/>
          <w:bCs w:val="false"/>
          <w:color w:val="111111"/>
          <w:sz w:val="22"/>
          <w:szCs w:val="22"/>
        </w:rPr>
        <w:t xml:space="preserve">Ce qui rend la SCI particulièrement pertinente pour les flux paiements :</w:t>
      </w:r>
    </w:p>
    <w:p>
      <w:pPr>
        <w:spacing w:after="40" w:before="40"/>
      </w:pPr>
      <w:r>
        <w:t xml:space="preserve"/>
      </w:r>
    </w:p>
    <w:p>
      <w:pPr>
        <w:pStyle w:val="ListParagraph"/>
        <w:numPr>
          <w:ilvl w:val="0"/>
          <w:numId w:val="2"/>
        </w:numPr>
        <w:spacing w:after="40" w:before="40"/>
      </w:pPr>
      <w:r>
        <w:rPr>
          <w:rFonts w:ascii="Arial" w:cs="Arial" w:eastAsia="Arial" w:hAnsi="Arial"/>
          <w:color w:val="111111"/>
          <w:sz w:val="22"/>
          <w:szCs w:val="22"/>
        </w:rPr>
        <w:t xml:space="preserve">Elle est normalisée par le volume : une optimisation qui réduit la consommation CPU de 10% sur un composant traitant 10M de transactions/jour est 10 fois plus impactante qu'un gain équivalent sur un composant traitant 1M de transactions/jour</w:t>
      </w:r>
    </w:p>
    <w:p>
      <w:pPr>
        <w:pStyle w:val="ListParagraph"/>
        <w:numPr>
          <w:ilvl w:val="0"/>
          <w:numId w:val="2"/>
        </w:numPr>
        <w:spacing w:after="40" w:before="40"/>
      </w:pPr>
      <w:r>
        <w:rPr>
          <w:rFonts w:ascii="Arial" w:cs="Arial" w:eastAsia="Arial" w:hAnsi="Arial"/>
          <w:color w:val="111111"/>
          <w:sz w:val="22"/>
          <w:szCs w:val="22"/>
        </w:rPr>
        <w:t xml:space="preserve">Elle intègre le carbon-aware computing : en décalant les batchs SCT vers des heures où I (l'intensité carbone du réseau électrique) est faible (nuit, énergies renouvelables disponibles), on réduit le SCI sans changer E</w:t>
      </w:r>
    </w:p>
    <w:p>
      <w:pPr>
        <w:pStyle w:val="ListParagraph"/>
        <w:numPr>
          <w:ilvl w:val="0"/>
          <w:numId w:val="2"/>
        </w:numPr>
        <w:spacing w:after="40" w:before="40"/>
      </w:pPr>
      <w:r>
        <w:rPr>
          <w:rFonts w:ascii="Arial" w:cs="Arial" w:eastAsia="Arial" w:hAnsi="Arial"/>
          <w:color w:val="111111"/>
          <w:sz w:val="22"/>
          <w:szCs w:val="22"/>
        </w:rPr>
        <w:t xml:space="preserve">Elle est auditable : chaque transaction peut théoriquement porter un label de son coût carbone, ce qui est parfaitement compatible avec les exigences CSRD</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6.3 Les Leviers de Décarbonation Concrets</w:t>
      </w:r>
    </w:p>
    <w:p>
      <w:pPr>
        <w:spacing w:after="40" w:before="40"/>
      </w:pPr>
      <w:r>
        <w:t xml:space="preserve"/>
      </w:r>
    </w:p>
    <w:p>
      <w:pPr>
        <w:pStyle w:val="Heading3"/>
        <w:spacing w:after="80" w:before="200"/>
      </w:pPr>
      <w:r>
        <w:rPr>
          <w:rFonts w:ascii="Arial" w:cs="Arial" w:eastAsia="Arial" w:hAnsi="Arial"/>
          <w:b/>
          <w:bCs/>
          <w:color w:val="1A3A5C"/>
          <w:sz w:val="24"/>
          <w:szCs w:val="24"/>
        </w:rPr>
        <w:t xml:space="preserve">Levier 1 — Scheduling Carbon-Aware des Batchs SCT/SDD</w:t>
      </w:r>
    </w:p>
    <w:p>
      <w:pPr>
        <w:spacing w:after="80" w:before="80"/>
      </w:pPr>
      <w:r>
        <w:rPr>
          <w:rFonts w:ascii="Arial" w:cs="Arial" w:eastAsia="Arial" w:hAnsi="Arial"/>
          <w:b w:val="false"/>
          <w:bCs w:val="false"/>
          <w:color w:val="111111"/>
          <w:sz w:val="22"/>
          <w:szCs w:val="22"/>
        </w:rPr>
        <w:t xml:space="preserve">Les fenêtres de traitement batch SCT et SDD sont contraintes par les cycles HAJE de STET, mais il existe une marge de manœuvre sur le démarrage des traitements préparatoires (validation, enrichissement, contrôle de doublons). En alignant ces traitements sur les plages horaires à faible intensité carbone du mix électrique (RTE publie une API), on peut réduire significativement le SCI sans aucun impact fonctionnel.</w:t>
      </w:r>
    </w:p>
    <w:p>
      <w:pPr>
        <w:spacing w:after="40" w:before="40"/>
      </w:pPr>
      <w:r>
        <w:t xml:space="preserve"/>
      </w:r>
    </w:p>
    <w:p>
      <w:pPr>
        <w:pStyle w:val="Heading3"/>
        <w:spacing w:after="80" w:before="200"/>
      </w:pPr>
      <w:r>
        <w:rPr>
          <w:rFonts w:ascii="Arial" w:cs="Arial" w:eastAsia="Arial" w:hAnsi="Arial"/>
          <w:b/>
          <w:bCs/>
          <w:color w:val="1A3A5C"/>
          <w:sz w:val="24"/>
          <w:szCs w:val="24"/>
        </w:rPr>
        <w:t xml:space="preserve">Levier 2 — Réduction des Retries SCT Inst</w:t>
      </w:r>
    </w:p>
    <w:p>
      <w:pPr>
        <w:spacing w:after="80" w:before="80"/>
      </w:pPr>
      <w:r>
        <w:rPr>
          <w:rFonts w:ascii="Arial" w:cs="Arial" w:eastAsia="Arial" w:hAnsi="Arial"/>
          <w:b w:val="false"/>
          <w:bCs w:val="false"/>
          <w:color w:val="111111"/>
          <w:sz w:val="22"/>
          <w:szCs w:val="22"/>
        </w:rPr>
        <w:t xml:space="preserve">Chaque retry SCT Inst est une transaction fantôme qui consomme des ressources sans produire de valeur économique. Un retry représente typiquement : 1 appel réseau vers TIPS, 1 traitement par le worker, 1 vérification d'idempotency, 1 écriture en base de données. Multiplié par des millions de tentatives par jour, l'impact est non négligeable. La mise en place d'une retry policy intelligente (circuit breaker, back-off exponentiel, idempotency key) est un gain direct et mesurable.</w:t>
      </w:r>
    </w:p>
    <w:p>
      <w:pPr>
        <w:spacing w:after="40" w:before="40"/>
      </w:pPr>
      <w:r>
        <w:t xml:space="preserve"/>
      </w:r>
    </w:p>
    <w:p>
      <w:pPr>
        <w:pStyle w:val="Heading3"/>
        <w:spacing w:after="80" w:before="200"/>
      </w:pPr>
      <w:r>
        <w:rPr>
          <w:rFonts w:ascii="Arial" w:cs="Arial" w:eastAsia="Arial" w:hAnsi="Arial"/>
          <w:b/>
          <w:bCs/>
          <w:color w:val="1A3A5C"/>
          <w:sz w:val="24"/>
          <w:szCs w:val="24"/>
        </w:rPr>
        <w:t xml:space="preserve">Levier 3 — Suppression des Batchs SCT Redondants</w:t>
      </w:r>
    </w:p>
    <w:p>
      <w:pPr>
        <w:spacing w:after="80" w:before="80"/>
      </w:pPr>
      <w:r>
        <w:rPr>
          <w:rFonts w:ascii="Arial" w:cs="Arial" w:eastAsia="Arial" w:hAnsi="Arial"/>
          <w:b w:val="false"/>
          <w:bCs w:val="false"/>
          <w:color w:val="111111"/>
          <w:sz w:val="22"/>
          <w:szCs w:val="22"/>
        </w:rPr>
        <w:t xml:space="preserve">Certains batchs de traitement SCT sont exécutés plusieurs fois pour des raisons historiques (relance de sécurité, double traitement pour réconciliation). Un audit de la chaîne de traitement permet d'identifier et de supprimer les étapes redondantes. Ce levier est identifié dans le dépôt comme « Quick Win » car il ne touche pas aux composants critiques DORA et peut être réalisé sans qualification lourde.</w:t>
      </w:r>
    </w:p>
    <w:p>
      <w:pPr>
        <w:spacing w:after="40" w:before="40"/>
      </w:pPr>
      <w:r>
        <w:t xml:space="preserve"/>
      </w:r>
    </w:p>
    <w:p>
      <w:pPr>
        <w:pStyle w:val="Heading3"/>
        <w:spacing w:after="80" w:before="200"/>
      </w:pPr>
      <w:r>
        <w:rPr>
          <w:rFonts w:ascii="Arial" w:cs="Arial" w:eastAsia="Arial" w:hAnsi="Arial"/>
          <w:b/>
          <w:bCs/>
          <w:color w:val="1A3A5C"/>
          <w:sz w:val="24"/>
          <w:szCs w:val="24"/>
        </w:rPr>
        <w:t xml:space="preserve">Levier 4 — Optimisation des Logs et de l'Audit Trail</w:t>
      </w:r>
    </w:p>
    <w:p>
      <w:pPr>
        <w:spacing w:after="80" w:before="80"/>
      </w:pPr>
      <w:r>
        <w:rPr>
          <w:rFonts w:ascii="Arial" w:cs="Arial" w:eastAsia="Arial" w:hAnsi="Arial"/>
          <w:b w:val="false"/>
          <w:bCs w:val="false"/>
          <w:color w:val="111111"/>
          <w:sz w:val="22"/>
          <w:szCs w:val="22"/>
        </w:rPr>
        <w:t xml:space="preserve">Les systèmes de flux paiements génèrent des volumes considérables de logs (chaque transaction, chaque étape, chaque contrôle). Une politique de log rationalisée (niveaux appropriés, rétention adaptée, compression, archivage froid) peut réduire significativement la consommation de stockage et le CPU associé au traitement des logs.</w:t>
      </w:r>
    </w:p>
    <w:p>
      <w:pPr>
        <w:spacing w:after="40" w:before="40"/>
      </w:pPr>
      <w:r>
        <w:t xml:space="preserve"/>
      </w:r>
    </w:p>
    <w:p>
      <w:pPr>
        <w:pStyle w:val="Heading3"/>
        <w:spacing w:after="80" w:before="200"/>
      </w:pPr>
      <w:r>
        <w:rPr>
          <w:rFonts w:ascii="Arial" w:cs="Arial" w:eastAsia="Arial" w:hAnsi="Arial"/>
          <w:b/>
          <w:bCs/>
          <w:color w:val="1A3A5C"/>
          <w:sz w:val="24"/>
          <w:szCs w:val="24"/>
        </w:rPr>
        <w:t xml:space="preserve">Levier 5 — Éco-conception lors de la Migration ISO 20022</w:t>
      </w:r>
    </w:p>
    <w:p>
      <w:pPr>
        <w:spacing w:after="80" w:before="80"/>
      </w:pPr>
      <w:r>
        <w:rPr>
          <w:rFonts w:ascii="Arial" w:cs="Arial" w:eastAsia="Arial" w:hAnsi="Arial"/>
          <w:b w:val="false"/>
          <w:bCs w:val="false"/>
          <w:color w:val="111111"/>
          <w:sz w:val="22"/>
          <w:szCs w:val="22"/>
        </w:rPr>
        <w:t xml:space="preserve">La migration ISO 20022 oblige à réécrire les parsers, validateurs et mappers. C'est l'opportunité d'appliquer les principes d'éco-conception : algorithmes plus efficaces, structures de données mémoire optimisées, traitement en flux (streaming) plutôt qu'en mémoire complète, réduction des I/O disque.</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6.4 La Démarche BPCE Group : Chiffres et Objectifs Réels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Objectif</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Cible</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Horizon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Réduction empreinte carbone IT globale groupe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-15% vs 2019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Fin 2024</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Amélioration efficacité énergétique data centers</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+10%</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Fin 2024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Allongement durée de vie PC</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De 3 ans à 4 ans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Réalisé — gain de 25% sur empreinte carbone PC</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Green Practice Scoring (GPS) sur projets IT</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Intégré dans la méthode Tempo (BPCE SI)</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En cours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Décarbonation assets et usages BPCE-IT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Démarche #Green IT coordonnée par Transfo Techno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En cours</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Audit éco-conception espace Clients Web</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Réalisé — recommandations formulées</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Réalisé</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Optimisation images sites WEB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-90% facture Cloud (160k$/an)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Réalisé</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Réutilisation serveurs baies mainframe</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Évitement 1,2 M€, allongement durée de vie</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Réalisé</w:t>
            </w:r>
          </w:p>
        </w:tc>
      </w:tr>
    </w:tbl>
    <w:p>
      <w:pPr>
        <w:spacing w:after="40" w:before="40"/>
      </w:pPr>
      <w:r>
        <w:t xml:space="preserve"/>
      </w:r>
    </w:p>
    <w:p>
      <w:pPr>
        <w:spacing w:after="80" w:before="80"/>
      </w:pPr>
      <w:r>
        <w:rPr>
          <w:rFonts w:ascii="Arial" w:cs="Arial" w:eastAsia="Arial" w:hAnsi="Arial"/>
          <w:b w:val="false"/>
          <w:bCs w:val="false"/>
          <w:color w:val="111111"/>
          <w:sz w:val="22"/>
          <w:szCs w:val="22"/>
        </w:rPr>
        <w:t xml:space="preserve">Le dépôt GreenOps IT Flux s'inscrit dans la continuité directe de cette trajectoire groupe. Il décline les objectifs groupe (-15% carbone IT) en objectifs applicatifs mesurables pour le domaine paiements : -6% de GES fin 2026, -20% horizon 2030, exprimés en gCO2e par transaction.</w:t>
      </w:r>
    </w:p>
    <w:p>
      <w:pPr>
        <w:spacing w:after="40" w:before="40"/>
      </w:pPr>
      <w:r>
        <w:t xml:space="preserve"/>
      </w:r>
    </w:p>
    <w:p>
      <w:r>
        <w:br w:type="page"/>
      </w:r>
    </w:p>
    <w:p>
      <w:pPr>
        <w:pStyle w:val="Heading1"/>
        <w:pBdr>
          <w:bottom w:val="single" w:color="2E6DA4" w:sz="8" w:space="4"/>
        </w:pBdr>
        <w:spacing w:after="200" w:before="400"/>
      </w:pPr>
      <w:r>
        <w:rPr>
          <w:rFonts w:ascii="Arial" w:cs="Arial" w:eastAsia="Arial" w:hAnsi="Arial"/>
          <w:b/>
          <w:bCs/>
          <w:color w:val="1A3A5C"/>
          <w:sz w:val="36"/>
          <w:szCs w:val="36"/>
        </w:rPr>
        <w:t xml:space="preserve">7. Les Quatre Tensions Majeures du Domaine</w:t>
      </w:r>
    </w:p>
    <w:p>
      <w:pPr>
        <w:spacing w:after="80" w:before="80"/>
      </w:pPr>
      <w:r>
        <w:rPr>
          <w:rFonts w:ascii="Arial" w:cs="Arial" w:eastAsia="Arial" w:hAnsi="Arial"/>
          <w:b w:val="false"/>
          <w:bCs w:val="false"/>
          <w:color w:val="111111"/>
          <w:sz w:val="22"/>
          <w:szCs w:val="22"/>
        </w:rPr>
        <w:t xml:space="preserve">Le domaine IT Flux paiements est traversé par des tensions structurelles entre des objectifs légitimes mais contradictoires. Ces tensions sont précisément ce que le dépôt GreenOps tente d'arbitrer avec rigueur.</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7.1 SLA de Disponibilité vs Sobriété Énergétique</w:t>
      </w:r>
    </w:p>
    <w:p>
      <w:pPr>
        <w:spacing w:after="80" w:before="80"/>
      </w:pPr>
      <w:r>
        <w:rPr>
          <w:rFonts w:ascii="Arial" w:cs="Arial" w:eastAsia="Arial" w:hAnsi="Arial"/>
          <w:b w:val="false"/>
          <w:bCs w:val="false"/>
          <w:color w:val="111111"/>
          <w:sz w:val="22"/>
          <w:szCs w:val="22"/>
        </w:rPr>
        <w:t xml:space="preserve">Le SCT Inst exige une disponibilité 24/7/365 et une architecture active-active. Ces exigences impliquent des ressources IT constamment en veille, consommant de l'énergie même sans charge utile. La sobriété énergétique voudrait éteindre ou réduire les ressources inutilisées, mais la reprise en charge instantanée (&lt; 10 secondes) ne permet pas de « cold start ».</w:t>
      </w:r>
    </w:p>
    <w:p>
      <w:pPr>
        <w:spacing w:after="40" w:before="40"/>
      </w:pPr>
      <w:r>
        <w:t xml:space="preserve"/>
      </w:r>
    </w:p>
    <w:p>
      <w:pPr>
        <w:spacing w:after="80" w:before="80"/>
      </w:pPr>
      <w:r>
        <w:rPr>
          <w:rFonts w:ascii="Arial" w:cs="Arial" w:eastAsia="Arial" w:hAnsi="Arial"/>
          <w:b w:val="false"/>
          <w:bCs w:val="false"/>
          <w:color w:val="111111"/>
          <w:sz w:val="22"/>
          <w:szCs w:val="22"/>
        </w:rPr>
        <w:t xml:space="preserve">Le compromis possible : optimiser le dimensionnement (ni trop peu, ce qui génère des retries, ni trop, ce qui génère du gaspillage), et recourir à des techniques de « warm standby » plutôt qu'à une redondance active intégrale là où les SLA le permettent.</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7.2 DORA (Résilience) vs Agilité des Optimisations GreenOps</w:t>
      </w:r>
    </w:p>
    <w:p>
      <w:pPr>
        <w:spacing w:after="80" w:before="80"/>
      </w:pPr>
      <w:r>
        <w:rPr>
          <w:rFonts w:ascii="Arial" w:cs="Arial" w:eastAsia="Arial" w:hAnsi="Arial"/>
          <w:b w:val="false"/>
          <w:bCs w:val="false"/>
          <w:color w:val="111111"/>
          <w:sz w:val="22"/>
          <w:szCs w:val="22"/>
        </w:rPr>
        <w:t xml:space="preserve">DORA impose des tests de résilience et des qualifications avant tout changement sur les composants critiques. Les cycles de qualification peuvent prendre plusieurs semaines à plusieurs mois. Cela ralentit mécaniquement le rythme des optimisations GreenOps sur les composants les plus impactants (workers SCT Inst, connectivité TIPS, ordonnanceur batch).</w:t>
      </w:r>
    </w:p>
    <w:p>
      <w:pPr>
        <w:spacing w:after="40" w:before="40"/>
      </w:pPr>
      <w:r>
        <w:t xml:space="preserve"/>
      </w:r>
    </w:p>
    <w:p>
      <w:pPr>
        <w:spacing w:after="80" w:before="80"/>
      </w:pPr>
      <w:r>
        <w:rPr>
          <w:rFonts w:ascii="Arial" w:cs="Arial" w:eastAsia="Arial" w:hAnsi="Arial"/>
          <w:b w:val="false"/>
          <w:bCs w:val="false"/>
          <w:color w:val="111111"/>
          <w:sz w:val="22"/>
          <w:szCs w:val="22"/>
        </w:rPr>
        <w:t xml:space="preserve">Le compromis du dépôt : distinguer les Quick Wins non-intrusifs (logs, scheduling, suppression de batchs redondants — déployables rapidement sans qualification DORA lourde) des optimisations structurelles (refonte des workers, circuit breaker sur TIPS — nécessitant un cycle de qualification complet). Cette distinction est au cœur de la roadmap en 4 phases.</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7.3 Instant Payment Généralisé vs Consommation Croissante</w:t>
      </w:r>
    </w:p>
    <w:p>
      <w:pPr>
        <w:spacing w:after="80" w:before="80"/>
      </w:pPr>
      <w:r>
        <w:rPr>
          <w:rFonts w:ascii="Arial" w:cs="Arial" w:eastAsia="Arial" w:hAnsi="Arial"/>
          <w:b w:val="false"/>
          <w:bCs w:val="false"/>
          <w:color w:val="111111"/>
          <w:sz w:val="22"/>
          <w:szCs w:val="22"/>
        </w:rPr>
        <w:t xml:space="preserve">Le règlement européen 2024/886 va provoquer une croissance significative du volume SCT Inst au détriment du SCT classique. Or le SCT Inst consomme plus de ressources par transaction que le SCT classique (traitement temps réel vs batch, absence de netting, monitoring permanent). La décarbonation applicative doit donc s'effectuer contre un vent contraire : les volumes augmentent, la consommation absolue risque de croître même si le SCI (consommation par transaction) diminue.</w:t>
      </w:r>
    </w:p>
    <w:p>
      <w:pPr>
        <w:spacing w:after="40" w:before="40"/>
      </w:pPr>
      <w:r>
        <w:t xml:space="preserve"/>
      </w:r>
    </w:p>
    <w:p>
      <w:pPr>
        <w:spacing w:after="80" w:before="80"/>
      </w:pPr>
      <w:r>
        <w:rPr>
          <w:rFonts w:ascii="Arial" w:cs="Arial" w:eastAsia="Arial" w:hAnsi="Arial"/>
          <w:b w:val="false"/>
          <w:bCs w:val="false"/>
          <w:color w:val="111111"/>
          <w:sz w:val="22"/>
          <w:szCs w:val="22"/>
        </w:rPr>
        <w:t xml:space="preserve">L'objectif exprimé en SCI (gCO2e/transaction) plutôt qu'en consommation absolue est précisément la réponse à cette tension : il permet de mesurer l'efficacité intrinsèque du système indépendamment de la croissance volumique, et de communiquer une performance réelle aux parties prenantes.</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7.4 Migration ISO 20022 vs Ressources Disponibles</w:t>
      </w:r>
    </w:p>
    <w:p>
      <w:pPr>
        <w:spacing w:after="80" w:before="80"/>
      </w:pPr>
      <w:r>
        <w:rPr>
          <w:rFonts w:ascii="Arial" w:cs="Arial" w:eastAsia="Arial" w:hAnsi="Arial"/>
          <w:b w:val="false"/>
          <w:bCs w:val="false"/>
          <w:color w:val="111111"/>
          <w:sz w:val="22"/>
          <w:szCs w:val="22"/>
        </w:rPr>
        <w:t xml:space="preserve">La migration ISO 20022 mobilise les mêmes équipes IT (architectes, développeurs, testeurs, gestionnaires de flux) que la démarche GreenOps. Le risque est que la migration absorbe toutes les ressources disponibles et retarde ou annule les initiatives de décarbonation.</w:t>
      </w:r>
    </w:p>
    <w:p>
      <w:pPr>
        <w:spacing w:after="40" w:before="40"/>
      </w:pPr>
      <w:r>
        <w:t xml:space="preserve"/>
      </w:r>
    </w:p>
    <w:p>
      <w:pPr>
        <w:spacing w:after="80" w:before="80"/>
      </w:pPr>
      <w:r>
        <w:rPr>
          <w:rFonts w:ascii="Arial" w:cs="Arial" w:eastAsia="Arial" w:hAnsi="Arial"/>
          <w:b w:val="false"/>
          <w:bCs w:val="false"/>
          <w:color w:val="111111"/>
          <w:sz w:val="22"/>
          <w:szCs w:val="22"/>
        </w:rPr>
        <w:t xml:space="preserve">La réponse intelligente — et c'est celle que suggère le dépôt — est de traiter la migration ISO 20022 comme une opportunité d'éco-conception. Chaque composant qui doit être reécrit pour ISO 20022 est réécrit avec les principes GreenOps. Cette convergence permet d'économiser des ressources par rapport à deux projets séquentiels indépendants.</w:t>
      </w:r>
    </w:p>
    <w:p>
      <w:pPr>
        <w:spacing w:after="40" w:before="40"/>
      </w:pPr>
      <w:r>
        <w:t xml:space="preserve"/>
      </w:r>
    </w:p>
    <w:p>
      <w:r>
        <w:br w:type="page"/>
      </w:r>
    </w:p>
    <w:p>
      <w:pPr>
        <w:pStyle w:val="Heading1"/>
        <w:pBdr>
          <w:bottom w:val="single" w:color="2E6DA4" w:sz="8" w:space="4"/>
        </w:pBdr>
        <w:spacing w:after="200" w:before="400"/>
      </w:pPr>
      <w:r>
        <w:rPr>
          <w:rFonts w:ascii="Arial" w:cs="Arial" w:eastAsia="Arial" w:hAnsi="Arial"/>
          <w:b/>
          <w:bCs/>
          <w:color w:val="1A3A5C"/>
          <w:sz w:val="36"/>
          <w:szCs w:val="36"/>
        </w:rPr>
        <w:t xml:space="preserve">8. Synthèse et Perspectives</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8.1 Ce que le Dépôt Adresse Réellement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Couche</w:t>
            </w:r>
          </w:p>
        </w:tc>
        <w:tc>
          <w:tcPr>
            <w:tcW w:type="dxa" w:w="3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Réalité terrain</w:t>
            </w:r>
          </w:p>
        </w:tc>
        <w:tc>
          <w:tcPr>
            <w:tcW w:type="dxa" w:w="3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Réponse du dépôt GreenOps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Infrastructure de place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CORE/STET, TIPS, T2, MFT, Clear2Pay/FIS — choix non-négociables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Architecture actuelle documentée comme hypothèse de référence. Les leviers sont dans les couches applicatives, pas dans l'infrastructure de place.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Flux temps réel SCT Inst</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10s, 24/7, TIPS, latence P99 critique, volumes croissants (règlement 2024/886)</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Files d'attente M/M/1, retry policy avec circuit breaker, scheduling intelligent, dimensionnement optimal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Flux batch SCT/SDD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Compensation J+1, fenêtres HAJE STET, batchs nocturnes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Scheduling carbon-aware, suppression batchs redondants, éco-conception des parsers ISO 20022</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Réglementation simultanée</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ISO 20022 obligatoire (nov. 2025), DORA (jan. 2025), règlement IP (2024/886), CSRD</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Driver réglementaire intégré dans les ADR ; DORA comme contrainte de rythme ; ISO 20022 comme opportunité d'éco-conception ; CSRD comme destinataire du reporting SCI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Green IT groupe BPCE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Objectifs -15% carbone IT, GPS, numérique responsable, trajectoire décarbonation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Déclinaison applicative avec objectifs -6% (2026) et -20% (2030) en gCO2e/transaction — contribution mesurable à l'objectif groupe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Gouvernance</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Comitologie BPCE, reporting exécutif, RACI</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11111"/>
                <w:sz w:val="21"/>
                <w:szCs w:val="21"/>
              </w:rPr>
              <w:t xml:space="preserve">Comité mensuel GreenOps IT Flux, KPIs publiés, roadmap 4 phases avec go/no-go par phase</w:t>
            </w:r>
          </w:p>
        </w:tc>
      </w:tr>
    </w:tbl>
    <w:p>
      <w:pPr>
        <w:spacing w:after="40" w:before="40"/>
      </w:pPr>
      <w:r>
        <w:t xml:space="preserve"/>
      </w:r>
    </w:p>
    <w:p>
      <w:pPr>
        <w:pStyle w:val="Heading2"/>
        <w:spacing w:after="120" w:before="280"/>
      </w:pPr>
      <w:r>
        <w:rPr>
          <w:rFonts w:ascii="Arial" w:cs="Arial" w:eastAsia="Arial" w:hAnsi="Arial"/>
          <w:b/>
          <w:bCs/>
          <w:color w:val="2E6DA4"/>
          <w:sz w:val="28"/>
          <w:szCs w:val="28"/>
        </w:rPr>
        <w:t xml:space="preserve">8.2 Ce qui Manque Encore</w:t>
      </w:r>
    </w:p>
    <w:p>
      <w:pPr>
        <w:spacing w:after="80" w:before="80"/>
      </w:pPr>
      <w:r>
        <w:rPr>
          <w:rFonts w:ascii="Arial" w:cs="Arial" w:eastAsia="Arial" w:hAnsi="Arial"/>
          <w:b w:val="false"/>
          <w:bCs w:val="false"/>
          <w:color w:val="111111"/>
          <w:sz w:val="22"/>
          <w:szCs w:val="22"/>
        </w:rPr>
        <w:t xml:space="preserve">L'analyse du dépôt et du contexte sectoriell permet d'identifier plusieurs dimensions qui nécessiteraient un approfondissement pour passer du dossier d'architecture au projet effectif :</w:t>
      </w:r>
    </w:p>
    <w:p>
      <w:pPr>
        <w:spacing w:after="40" w:before="40"/>
      </w:pPr>
      <w:r>
        <w:t xml:space="preserve"/>
      </w:r>
    </w:p>
    <w:p>
      <w:pPr>
        <w:pStyle w:val="ListParagraph"/>
        <w:numPr>
          <w:ilvl w:val="0"/>
          <w:numId w:val="2"/>
        </w:numPr>
        <w:spacing w:after="40" w:before="40"/>
      </w:pPr>
      <w:r>
        <w:rPr>
          <w:rFonts w:ascii="Arial" w:cs="Arial" w:eastAsia="Arial" w:hAnsi="Arial"/>
          <w:color w:val="111111"/>
          <w:sz w:val="22"/>
          <w:szCs w:val="22"/>
        </w:rPr>
        <w:t xml:space="preserve">La baseline carbone réelle : le dépôt travaille sur une « hypothèse de référence ». La mesure effective de la consommation actuelle (via Kepler/eBPF pour les workloads Linux, via les APIs OPF pour les composants Clear2Pay) est le premier chantier à lancer</w:t>
      </w:r>
    </w:p>
    <w:p>
      <w:pPr>
        <w:pStyle w:val="ListParagraph"/>
        <w:numPr>
          <w:ilvl w:val="0"/>
          <w:numId w:val="2"/>
        </w:numPr>
        <w:spacing w:after="40" w:before="40"/>
      </w:pPr>
      <w:r>
        <w:rPr>
          <w:rFonts w:ascii="Arial" w:cs="Arial" w:eastAsia="Arial" w:hAnsi="Arial"/>
          <w:color w:val="111111"/>
          <w:sz w:val="22"/>
          <w:szCs w:val="22"/>
        </w:rPr>
        <w:t xml:space="preserve">L'intégration avec le monitoring existant : BPCE-IT développe une offre d'observabilité des socles via l'IA. La convergence entre observabilité technique (latence, throughput, erreurs) et observabilité carbone (SCI par composant) est le point de jonction critique</w:t>
      </w:r>
    </w:p>
    <w:p>
      <w:pPr>
        <w:pStyle w:val="ListParagraph"/>
        <w:numPr>
          <w:ilvl w:val="0"/>
          <w:numId w:val="2"/>
        </w:numPr>
        <w:spacing w:after="40" w:before="40"/>
      </w:pPr>
      <w:r>
        <w:rPr>
          <w:rFonts w:ascii="Arial" w:cs="Arial" w:eastAsia="Arial" w:hAnsi="Arial"/>
          <w:color w:val="111111"/>
          <w:sz w:val="22"/>
          <w:szCs w:val="22"/>
        </w:rPr>
        <w:t xml:space="preserve">Le modèle économique de la décarbonation : les optimisations GreenOps ont un coût (dev, tests, qualification DORA). Le ROI doit être calculé non seulement en gCO2e économisés mais aussi en coûts opérationnels réduits (moins de retries = moins de charge CPU = moins de coût cloud/infra)</w:t>
      </w:r>
    </w:p>
    <w:p>
      <w:pPr>
        <w:pStyle w:val="ListParagraph"/>
        <w:numPr>
          <w:ilvl w:val="0"/>
          <w:numId w:val="2"/>
        </w:numPr>
        <w:spacing w:after="40" w:before="40"/>
      </w:pPr>
      <w:r>
        <w:rPr>
          <w:rFonts w:ascii="Arial" w:cs="Arial" w:eastAsia="Arial" w:hAnsi="Arial"/>
          <w:color w:val="111111"/>
          <w:sz w:val="22"/>
          <w:szCs w:val="22"/>
        </w:rPr>
        <w:t xml:space="preserve">La gouvernance inter-entités : un flux SCT Inst implique minimum 4 entités BPCE (banque émettrice, BPCE Payment Services, BPCE-IT, banque réceptrice). La définition du périmètre de responsabilité carbone entre ces entités est une question de gouvernance non résolue dans le dépôt</w:t>
      </w:r>
    </w:p>
    <w:p>
      <w:pPr>
        <w:spacing w:after="40" w:before="40"/>
      </w:pPr>
      <w:r>
        <w:t xml:space="preserve"/>
      </w:r>
    </w:p>
    <w:p>
      <w:pPr>
        <w:pStyle w:val="Heading2"/>
        <w:spacing w:after="120" w:before="280"/>
      </w:pPr>
      <w:r>
        <w:rPr>
          <w:rFonts w:ascii="Arial" w:cs="Arial" w:eastAsia="Arial" w:hAnsi="Arial"/>
          <w:b/>
          <w:bCs/>
          <w:color w:val="2E6DA4"/>
          <w:sz w:val="28"/>
          <w:szCs w:val="28"/>
        </w:rPr>
        <w:t xml:space="preserve">8.3 Perspectives 2026-2030</w:t>
      </w:r>
    </w:p>
    <w:p>
      <w:pPr>
        <w:spacing w:after="80" w:before="80"/>
      </w:pPr>
      <w:r>
        <w:rPr>
          <w:rFonts w:ascii="Arial" w:cs="Arial" w:eastAsia="Arial" w:hAnsi="Arial"/>
          <w:b w:val="false"/>
          <w:bCs w:val="false"/>
          <w:color w:val="111111"/>
          <w:sz w:val="22"/>
          <w:szCs w:val="22"/>
        </w:rPr>
        <w:t xml:space="preserve">Plusieurs évolutions structurelles vont façonner le domaine IT Flux dans les 5 prochaines années :</w:t>
      </w:r>
    </w:p>
    <w:p>
      <w:pPr>
        <w:spacing w:after="40" w:before="40"/>
      </w:pPr>
      <w:r>
        <w:t xml:space="preserve"/>
      </w:r>
    </w:p>
    <w:p>
      <w:pPr>
        <w:pStyle w:val="ListParagraph"/>
        <w:numPr>
          <w:ilvl w:val="0"/>
          <w:numId w:val="2"/>
        </w:numPr>
        <w:spacing w:after="40" w:before="40"/>
      </w:pPr>
      <w:r>
        <w:rPr>
          <w:rFonts w:ascii="Arial" w:cs="Arial" w:eastAsia="Arial" w:hAnsi="Arial"/>
          <w:color w:val="111111"/>
          <w:sz w:val="22"/>
          <w:szCs w:val="22"/>
        </w:rPr>
        <w:t xml:space="preserve">Montée en charge du SCT Inst : potentiellement 50-70% des virements en mode instantané d'ici 2027, contre quelques pourcents aujourd'hui</w:t>
      </w:r>
    </w:p>
    <w:p>
      <w:pPr>
        <w:pStyle w:val="ListParagraph"/>
        <w:numPr>
          <w:ilvl w:val="0"/>
          <w:numId w:val="2"/>
        </w:numPr>
        <w:spacing w:after="40" w:before="40"/>
      </w:pPr>
      <w:r>
        <w:rPr>
          <w:rFonts w:ascii="Arial" w:cs="Arial" w:eastAsia="Arial" w:hAnsi="Arial"/>
          <w:color w:val="111111"/>
          <w:sz w:val="22"/>
          <w:szCs w:val="22"/>
        </w:rPr>
        <w:t xml:space="preserve">Wero (EPI — European Payments Initiative) : le portefeuille de paiement européen co-développé par BPCE et d'autres grandes banques européennes, qui repose sur le SCT Inst comme rail de règlement</w:t>
      </w:r>
    </w:p>
    <w:p>
      <w:pPr>
        <w:pStyle w:val="ListParagraph"/>
        <w:numPr>
          <w:ilvl w:val="0"/>
          <w:numId w:val="2"/>
        </w:numPr>
        <w:spacing w:after="40" w:before="40"/>
      </w:pPr>
      <w:r>
        <w:rPr>
          <w:rFonts w:ascii="Arial" w:cs="Arial" w:eastAsia="Arial" w:hAnsi="Arial"/>
          <w:color w:val="111111"/>
          <w:sz w:val="22"/>
          <w:szCs w:val="22"/>
        </w:rPr>
        <w:t xml:space="preserve">ISO 20022 version 4 et au-delà : les formats continuent d'évoluer, chaque version apportant de nouvelles possibilités de structuration des données</w:t>
      </w:r>
    </w:p>
    <w:p>
      <w:pPr>
        <w:pStyle w:val="ListParagraph"/>
        <w:numPr>
          <w:ilvl w:val="0"/>
          <w:numId w:val="2"/>
        </w:numPr>
        <w:spacing w:after="40" w:before="40"/>
      </w:pPr>
      <w:r>
        <w:rPr>
          <w:rFonts w:ascii="Arial" w:cs="Arial" w:eastAsia="Arial" w:hAnsi="Arial"/>
          <w:color w:val="111111"/>
          <w:sz w:val="22"/>
          <w:szCs w:val="22"/>
        </w:rPr>
        <w:t xml:space="preserve">IA appliquée au traitement des flux : détection de fraude en temps réel sur SCT Inst, optimisation du scheduling batch par machine learning, prédiction de charge et dimensionnement adaptatif</w:t>
      </w:r>
    </w:p>
    <w:p>
      <w:pPr>
        <w:pStyle w:val="ListParagraph"/>
        <w:numPr>
          <w:ilvl w:val="0"/>
          <w:numId w:val="2"/>
        </w:numPr>
        <w:spacing w:after="40" w:before="40"/>
      </w:pPr>
      <w:r>
        <w:rPr>
          <w:rFonts w:ascii="Arial" w:cs="Arial" w:eastAsia="Arial" w:hAnsi="Arial"/>
          <w:color w:val="111111"/>
          <w:sz w:val="22"/>
          <w:szCs w:val="22"/>
        </w:rPr>
        <w:t xml:space="preserve">Réglementation carbone numérique : le cadre CSRD va se préciser avec des standards sectoriels spécifiques aux services financiers, rendant le reporting SCI progressivement obligatoire</w:t>
      </w:r>
    </w:p>
    <w:p>
      <w:pPr>
        <w:pStyle w:val="ListParagraph"/>
        <w:numPr>
          <w:ilvl w:val="0"/>
          <w:numId w:val="2"/>
        </w:numPr>
        <w:spacing w:after="40" w:before="40"/>
      </w:pPr>
      <w:r>
        <w:rPr>
          <w:rFonts w:ascii="Arial" w:cs="Arial" w:eastAsia="Arial" w:hAnsi="Arial"/>
          <w:color w:val="111111"/>
          <w:sz w:val="22"/>
          <w:szCs w:val="22"/>
        </w:rPr>
        <w:t xml:space="preserve">Convergence Green IT et SRE : les métriques SCI et les SLO/SLI vont progressivement s'unifier dans les dashboards d'observabilité, faisant du carbone une métrique de fiabilité à part entière</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180"/>
              <w:bottom w:type="dxa" w:w="120"/>
              <w:right w:type="dxa" w:w="180"/>
            </w:tcMar>
          </w:tcPr>
          <w:p>
            <w:r>
              <w:rPr>
                <w:rFonts w:ascii="Arial" w:cs="Arial" w:eastAsia="Arial" w:hAnsi="Arial"/>
                <w:b/>
                <w:bCs/>
                <w:color w:val="1A3A5C"/>
                <w:sz w:val="22"/>
                <w:szCs w:val="22"/>
              </w:rPr>
              <w:t xml:space="preserve">Conclusion</w:t>
            </w:r>
          </w:p>
          <w:p>
            <w:r>
              <w:rPr>
                <w:rFonts w:ascii="Arial" w:cs="Arial" w:eastAsia="Arial" w:hAnsi="Arial"/>
                <w:color w:val="333333"/>
                <w:sz w:val="22"/>
                <w:szCs w:val="22"/>
              </w:rPr>
              <w:t xml:space="preserve">Le dépôt zdmooc/greenops-it-flux-architecture adresse l'un des domaines les plus complexes et les plus contraints de l'IT bancaire français. En combinant rigueur mathématique, maîtrise des écosystèmes réglementaires et techniques, et pragmatisme architectural (approche en vagues, arbitrage DORA vs GreenOps), il constitue un point de départ solide pour une transformation durable du traitement des flux paiements. Sa valeur principale réside dans la cohérence : chaque décision technique est tracée depuis les objectifs exécutifs jusqu'aux formules mathématiques qui la justifient.</w:t>
            </w:r>
          </w:p>
        </w:tc>
      </w:tr>
    </w:tbl>
    <w:p>
      <w:pPr>
        <w:spacing w:after="40" w:before="40"/>
      </w:pPr>
      <w:r>
        <w:t xml:space="preserve"/>
      </w:r>
    </w:p>
    <w:p>
      <w:pPr>
        <w:pBdr>
          <w:bottom w:val="single" w:color="2E6DA4" w:sz="4" w:space="2"/>
        </w:pBdr>
        <w:spacing w:after="120" w:before="120"/>
      </w:pPr>
      <w:r>
        <w:t xml:space="preserve"/>
      </w:r>
    </w:p>
    <w:p>
      <w:pPr>
        <w:spacing w:after="200" w:before="200"/>
        <w:jc w:val="center"/>
      </w:pPr>
      <w:r>
        <w:rPr>
          <w:rFonts w:ascii="Arial" w:cs="Arial" w:eastAsia="Arial" w:hAnsi="Arial"/>
          <w:color w:val="6B7280"/>
          <w:sz w:val="20"/>
          <w:szCs w:val="20"/>
        </w:rPr>
        <w:t xml:space="preserve">— Fin du rapport —</w:t>
      </w:r>
    </w:p>
    <w:sectPr>
      <w:headerReference w:type="default" r:id="rId7"/>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2"/>
      </w:pBdr>
      <w:tabs>
        <w:tab w:val="right" w:pos="9026"/>
      </w:tabs>
    </w:pPr>
    <w:r>
      <w:rPr>
        <w:rFonts w:ascii="Arial" w:cs="Arial" w:eastAsia="Arial" w:hAnsi="Arial"/>
        <w:color w:val="6B7280"/>
        <w:sz w:val="18"/>
        <w:szCs w:val="18"/>
      </w:rPr>
      <w:t xml:space="preserve">Flux Bancaires de Paiements — BPCE &amp; GreenOps</w:t>
    </w:r>
    <w:r>
      <w:rPr>
        <w:rFonts w:ascii="Arial" w:cs="Arial" w:eastAsia="Arial" w:hAnsi="Arial"/>
        <w:color w:val="6B7280"/>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2026-04-25T20:32:17.443Z</dcterms:created>
  <dcterms:modified xsi:type="dcterms:W3CDTF">2026-04-25T20:32:17.444Z</dcterms:modified>
</cp:coreProperties>
</file>

<file path=docProps/custom.xml><?xml version="1.0" encoding="utf-8"?>
<Properties xmlns="http://schemas.openxmlformats.org/officeDocument/2006/custom-properties" xmlns:vt="http://schemas.openxmlformats.org/officeDocument/2006/docPropsVTypes"/>
</file>