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t>EX288</w:t>
      </w:r>
    </w:p>
    <w:p>
      <w:pPr>
        <w:pStyle w:val="SubtitleCustom"/>
      </w:pPr>
      <w:r>
        <w:t>Guide de préparation — Red Hat Certified OpenShift Application Developer</w:t>
      </w:r>
    </w:p>
    <w:tbl>
      <w:tblPr>
        <w:tblW w:type="auto" w:w="0"/>
        <w:jc w:val="center"/>
        <w:tblLook w:firstColumn="1" w:firstRow="1" w:lastColumn="0" w:lastRow="0" w:noHBand="0" w:noVBand="1" w:val="04A0"/>
      </w:tblPr>
      <w:tblGrid>
        <w:gridCol w:w="10200"/>
      </w:tblGrid>
      <w:tr>
        <w:tc>
          <w:tcPr>
            <w:tcW w:type="dxa" w:w="10200"/>
            <w:shd w:fill="F9F9F9"/>
            <w:tcMar>
              <w:top w:w="85" w:type="dxa"/>
              <w:start w:w="100" w:type="dxa"/>
              <w:bottom w:w="85" w:type="dxa"/>
              <w:end w:w="100" w:type="dxa"/>
            </w:tcMar>
            <w:tcBorders>
              <w:top w:val="single" w:sz="8" w:space="0" w:color="D9D9D9"/>
              <w:left w:val="single" w:sz="8" w:space="0" w:color="D9D9D9"/>
              <w:bottom w:val="single" w:sz="8" w:space="0" w:color="D9D9D9"/>
              <w:right w:val="single" w:sz="8" w:space="0" w:color="D9D9D9"/>
            </w:tcBorders>
          </w:tcPr>
          <w:p>
            <w:pPr>
              <w:pStyle w:val="BoxText"/>
            </w:pPr>
            <w:r>
              <w:t>Vue d’ensemble de l’examen, compétences visées, objectifs techniques, plan de travail et checklist de révision.</w:t>
            </w:r>
          </w:p>
        </w:tc>
      </w:tr>
    </w:tbl>
    <w:tbl>
      <w:tblPr>
        <w:tblW w:type="auto" w:w="0"/>
        <w:jc w:val="center"/>
        <w:tblLayout w:type="fixed"/>
        <w:tblLook w:firstColumn="1" w:firstRow="1" w:lastColumn="0" w:lastRow="0" w:noHBand="0" w:noVBand="1" w:val="04A0"/>
      </w:tblPr>
      <w:tblGrid>
        <w:gridCol w:w="2550"/>
        <w:gridCol w:w="2550"/>
        <w:gridCol w:w="2550"/>
        <w:gridCol w:w="2550"/>
      </w:tblGrid>
      <w:tr>
        <w:tc>
          <w:tcPr>
            <w:tcW w:type="dxa" w:w="1644"/>
            <w:tcMar>
              <w:top w:w="60" w:type="dxa"/>
              <w:start w:w="70" w:type="dxa"/>
              <w:bottom w:w="60" w:type="dxa"/>
              <w:end w:w="70" w:type="dxa"/>
            </w:tcMar>
            <w:vAlign w:val="center"/>
            <w:shd w:fill="AA0000"/>
          </w:tcPr>
          <w:p>
            <w:pPr>
              <w:jc w:val="center"/>
            </w:pPr>
            <w:r>
              <w:rPr>
                <w:b/>
                <w:color w:val="FFFFFF"/>
                <w:sz w:val="18"/>
              </w:rPr>
              <w:t>Code</w:t>
            </w:r>
          </w:p>
        </w:tc>
        <w:tc>
          <w:tcPr>
            <w:tcW w:type="dxa" w:w="2268"/>
            <w:tcMar>
              <w:top w:w="60" w:type="dxa"/>
              <w:start w:w="70" w:type="dxa"/>
              <w:bottom w:w="60" w:type="dxa"/>
              <w:end w:w="70" w:type="dxa"/>
            </w:tcMar>
            <w:vAlign w:val="center"/>
            <w:shd w:fill="AA0000"/>
          </w:tcPr>
          <w:p>
            <w:pPr>
              <w:jc w:val="center"/>
            </w:pPr>
            <w:r>
              <w:rPr>
                <w:b/>
                <w:color w:val="FFFFFF"/>
                <w:sz w:val="18"/>
              </w:rPr>
              <w:t>Positionnement</w:t>
            </w:r>
          </w:p>
        </w:tc>
        <w:tc>
          <w:tcPr>
            <w:tcW w:type="dxa" w:w="1701"/>
            <w:tcMar>
              <w:top w:w="60" w:type="dxa"/>
              <w:start w:w="70" w:type="dxa"/>
              <w:bottom w:w="60" w:type="dxa"/>
              <w:end w:w="70" w:type="dxa"/>
            </w:tcMar>
            <w:vAlign w:val="center"/>
            <w:shd w:fill="AA0000"/>
          </w:tcPr>
          <w:p>
            <w:pPr>
              <w:jc w:val="center"/>
            </w:pPr>
            <w:r>
              <w:rPr>
                <w:b/>
                <w:color w:val="FFFFFF"/>
                <w:sz w:val="18"/>
              </w:rPr>
              <w:t>Durée</w:t>
            </w:r>
          </w:p>
        </w:tc>
        <w:tc>
          <w:tcPr>
            <w:tcW w:type="dxa" w:w="2211"/>
            <w:tcMar>
              <w:top w:w="60" w:type="dxa"/>
              <w:start w:w="70" w:type="dxa"/>
              <w:bottom w:w="60" w:type="dxa"/>
              <w:end w:w="70" w:type="dxa"/>
            </w:tcMar>
            <w:vAlign w:val="center"/>
            <w:shd w:fill="AA0000"/>
          </w:tcPr>
          <w:p>
            <w:pPr>
              <w:jc w:val="center"/>
            </w:pPr>
            <w:r>
              <w:rPr>
                <w:b/>
                <w:color w:val="FFFFFF"/>
                <w:sz w:val="18"/>
              </w:rPr>
              <w:t>Base</w:t>
            </w:r>
          </w:p>
        </w:tc>
      </w:tr>
      <w:tr>
        <w:tc>
          <w:tcPr>
            <w:tcW w:type="dxa" w:w="1644"/>
            <w:tcMar>
              <w:top w:w="60" w:type="dxa"/>
              <w:start w:w="70" w:type="dxa"/>
              <w:bottom w:w="60" w:type="dxa"/>
              <w:end w:w="70" w:type="dxa"/>
            </w:tcMar>
            <w:vAlign w:val="center"/>
            <w:shd w:fill="F6EAEA"/>
          </w:tcPr>
          <w:p>
            <w:pPr>
              <w:jc w:val="center"/>
            </w:pPr>
            <w:r>
              <w:rPr>
                <w:b/>
                <w:sz w:val="19"/>
              </w:rPr>
              <w:t>EX288</w:t>
            </w:r>
          </w:p>
        </w:tc>
        <w:tc>
          <w:tcPr>
            <w:tcW w:type="dxa" w:w="2268"/>
            <w:tcMar>
              <w:top w:w="60" w:type="dxa"/>
              <w:start w:w="70" w:type="dxa"/>
              <w:bottom w:w="60" w:type="dxa"/>
              <w:end w:w="70" w:type="dxa"/>
            </w:tcMar>
            <w:vAlign w:val="center"/>
            <w:shd w:fill="F6EAEA"/>
          </w:tcPr>
          <w:p>
            <w:pPr>
              <w:jc w:val="center"/>
            </w:pPr>
            <w:r>
              <w:rPr>
                <w:b/>
                <w:sz w:val="19"/>
              </w:rPr>
              <w:t>Développeur / DevOps</w:t>
            </w:r>
          </w:p>
        </w:tc>
        <w:tc>
          <w:tcPr>
            <w:tcW w:type="dxa" w:w="1701"/>
            <w:tcMar>
              <w:top w:w="60" w:type="dxa"/>
              <w:start w:w="70" w:type="dxa"/>
              <w:bottom w:w="60" w:type="dxa"/>
              <w:end w:w="70" w:type="dxa"/>
            </w:tcMar>
            <w:vAlign w:val="center"/>
            <w:shd w:fill="F6EAEA"/>
          </w:tcPr>
          <w:p>
            <w:pPr>
              <w:jc w:val="center"/>
            </w:pPr>
            <w:r>
              <w:rPr>
                <w:b/>
                <w:sz w:val="19"/>
              </w:rPr>
              <w:t>3 heures</w:t>
            </w:r>
          </w:p>
        </w:tc>
        <w:tc>
          <w:tcPr>
            <w:tcW w:type="dxa" w:w="2211"/>
            <w:tcMar>
              <w:top w:w="60" w:type="dxa"/>
              <w:start w:w="70" w:type="dxa"/>
              <w:bottom w:w="60" w:type="dxa"/>
              <w:end w:w="70" w:type="dxa"/>
            </w:tcMar>
            <w:vAlign w:val="center"/>
            <w:shd w:fill="F6EAEA"/>
          </w:tcPr>
          <w:p>
            <w:pPr>
              <w:jc w:val="center"/>
            </w:pPr>
            <w:r>
              <w:rPr>
                <w:b/>
                <w:sz w:val="19"/>
              </w:rPr>
              <w:t>OpenShift 4.18</w:t>
            </w:r>
          </w:p>
        </w:tc>
      </w:tr>
    </w:tbl>
    <w:p>
      <w:pPr>
        <w:pStyle w:val="SmallNote"/>
      </w:pPr>
      <w:r>
        <w:t>Version de travail du 7 avril 2026, synthétisée à partir des pages officielles Red Hat.</w:t>
      </w:r>
    </w:p>
    <w:p>
      <w:pPr>
        <w:pStyle w:val="Heading1Custom"/>
      </w:pPr>
      <w:r>
        <w:t>1. Ce que mesure EX288</w:t>
      </w:r>
    </w:p>
    <w:p>
      <w:r>
        <w:t>EX288 mesure la capacité à déployer et exploiter des applications existantes sur OpenShift dans une logique DevOps. La cible n’est pas la modification du code applicatif, mais le packaging, le déploiement, la configuration, l’automatisation et le diagnostic.</w:t>
      </w:r>
    </w:p>
    <w:p>
      <w:pPr>
        <w:pStyle w:val="Heading2Custom"/>
      </w:pPr>
      <w:r>
        <w:t>Profil concerné</w:t>
      </w:r>
    </w:p>
    <w:p>
      <w:pPr>
        <w:spacing w:after="20"/>
        <w:ind w:left="142" w:hanging="125"/>
      </w:pPr>
      <w:r>
        <w:t xml:space="preserve">• </w:t>
      </w:r>
      <w:r>
        <w:t>développeur qui livre sur OpenShift</w:t>
      </w:r>
    </w:p>
    <w:p>
      <w:pPr>
        <w:spacing w:after="20"/>
        <w:ind w:left="142" w:hanging="125"/>
      </w:pPr>
      <w:r>
        <w:t xml:space="preserve">• </w:t>
      </w:r>
      <w:r>
        <w:t>ingénieur DevOps orienté déploiement applicatif</w:t>
      </w:r>
    </w:p>
    <w:p>
      <w:pPr>
        <w:spacing w:after="20"/>
        <w:ind w:left="142" w:hanging="125"/>
      </w:pPr>
      <w:r>
        <w:t xml:space="preserve">• </w:t>
      </w:r>
      <w:r>
        <w:t>SRE avec périmètre application</w:t>
      </w:r>
    </w:p>
    <w:p>
      <w:pPr>
        <w:pStyle w:val="Heading2Custom"/>
      </w:pPr>
      <w:r>
        <w:t>Prérequis utiles</w:t>
      </w:r>
    </w:p>
    <w:p>
      <w:pPr>
        <w:spacing w:after="20"/>
        <w:ind w:left="142" w:hanging="125"/>
      </w:pPr>
      <w:r>
        <w:t xml:space="preserve">• </w:t>
      </w:r>
      <w:r>
        <w:t>bonnes bases conteneurs</w:t>
      </w:r>
    </w:p>
    <w:p>
      <w:pPr>
        <w:spacing w:after="20"/>
        <w:ind w:left="142" w:hanging="125"/>
      </w:pPr>
      <w:r>
        <w:t xml:space="preserve">• </w:t>
      </w:r>
      <w:r>
        <w:t>bases Git et YAML</w:t>
      </w:r>
    </w:p>
    <w:p>
      <w:pPr>
        <w:spacing w:after="20"/>
        <w:ind w:left="142" w:hanging="125"/>
      </w:pPr>
      <w:r>
        <w:t xml:space="preserve">• </w:t>
      </w:r>
      <w:r>
        <w:t>aisance terminal / console web</w:t>
      </w:r>
    </w:p>
    <w:p>
      <w:pPr>
        <w:spacing w:after="20"/>
        <w:ind w:left="142" w:hanging="125"/>
      </w:pPr>
      <w:r>
        <w:t xml:space="preserve">• </w:t>
      </w:r>
      <w:r>
        <w:t>capacité à tester une application déjà fournie</w:t>
      </w:r>
    </w:p>
    <w:p>
      <w:pPr>
        <w:pStyle w:val="Heading1Custom"/>
      </w:pPr>
      <w:r>
        <w:t>2. Format de l’examen</w:t>
      </w:r>
    </w:p>
    <w:p>
      <w:r>
        <w:t>L’épreuve dure 3 heures et est entièrement pratique. Tu es jugé sur le résultat observable : l’application doit répondre aux critères attendus. Red Hat indique aussi que l’examen est disponible en remote exam.</w:t>
      </w:r>
    </w:p>
    <w:tbl>
      <w:tblPr>
        <w:tblW w:type="auto" w:w="0"/>
        <w:jc w:val="center"/>
        <w:tblLook w:firstColumn="1" w:firstRow="1" w:lastColumn="0" w:lastRow="0" w:noHBand="0" w:noVBand="1" w:val="04A0"/>
      </w:tblPr>
      <w:tblGrid>
        <w:gridCol w:w="10200"/>
      </w:tblGrid>
      <w:tr>
        <w:tc>
          <w:tcPr>
            <w:tcW w:type="dxa" w:w="10200"/>
            <w:shd w:fill="F9F9F9"/>
            <w:tcMar>
              <w:top w:w="85" w:type="dxa"/>
              <w:start w:w="100" w:type="dxa"/>
              <w:bottom w:w="85" w:type="dxa"/>
              <w:end w:w="100" w:type="dxa"/>
            </w:tcMar>
            <w:tcBorders>
              <w:top w:val="single" w:sz="8" w:space="0" w:color="D9D9D9"/>
              <w:left w:val="single" w:sz="8" w:space="0" w:color="D9D9D9"/>
              <w:bottom w:val="single" w:sz="8" w:space="0" w:color="D9D9D9"/>
              <w:right w:val="single" w:sz="8" w:space="0" w:color="D9D9D9"/>
            </w:tcBorders>
          </w:tcPr>
          <w:p>
            <w:pPr>
              <w:pStyle w:val="BoxText"/>
            </w:pPr>
            <w:r>
              <w:t>Point clé : EX288 se prépare comme un atelier terrain chronométré, pas comme un examen théorique.</w:t>
            </w:r>
          </w:p>
        </w:tc>
      </w:tr>
    </w:tbl>
    <w:p>
      <w:pPr>
        <w:pStyle w:val="Heading1Custom"/>
      </w:pPr>
      <w:r>
        <w:t>3. Objectifs officiels regroupés</w:t>
      </w:r>
    </w:p>
    <w:p>
      <w:pPr>
        <w:pStyle w:val="Heading2Custom"/>
      </w:pPr>
      <w:r>
        <w:t>A — Fondamentaux OpenShift</w:t>
      </w:r>
    </w:p>
    <w:p>
      <w:pPr>
        <w:spacing w:after="20"/>
        <w:ind w:left="142" w:hanging="125"/>
      </w:pPr>
      <w:r>
        <w:t xml:space="preserve">• </w:t>
      </w:r>
      <w:r>
        <w:t>projets, déploiements mono et multi-conteneurs, console web</w:t>
      </w:r>
    </w:p>
    <w:p>
      <w:pPr>
        <w:spacing w:after="20"/>
        <w:ind w:left="142" w:hanging="125"/>
      </w:pPr>
      <w:r>
        <w:t xml:space="preserve">• </w:t>
      </w:r>
      <w:r>
        <w:t>health monitoring de l’application</w:t>
      </w:r>
    </w:p>
    <w:p>
      <w:pPr>
        <w:spacing w:after="20"/>
        <w:ind w:left="142" w:hanging="125"/>
      </w:pPr>
      <w:r>
        <w:t xml:space="preserve">• </w:t>
      </w:r>
      <w:r>
        <w:t>usage de Git dans le contexte du déploiement</w:t>
      </w:r>
    </w:p>
    <w:p>
      <w:pPr>
        <w:spacing w:after="20"/>
        <w:ind w:left="142" w:hanging="125"/>
      </w:pPr>
      <w:r>
        <w:t xml:space="preserve">• </w:t>
      </w:r>
      <w:r>
        <w:t>usage du registre interne selon le besoin</w:t>
      </w:r>
    </w:p>
    <w:p>
      <w:pPr>
        <w:pStyle w:val="Heading2Custom"/>
      </w:pPr>
      <w:r>
        <w:t>B — Builds, images et registre</w:t>
      </w:r>
    </w:p>
    <w:p>
      <w:pPr>
        <w:spacing w:after="20"/>
        <w:ind w:left="142" w:hanging="125"/>
      </w:pPr>
      <w:r>
        <w:t xml:space="preserve">• </w:t>
      </w:r>
      <w:r>
        <w:t>créer ou adapter des images à partir d’images existantes</w:t>
      </w:r>
    </w:p>
    <w:p>
      <w:pPr>
        <w:spacing w:after="20"/>
        <w:ind w:left="142" w:hanging="125"/>
      </w:pPr>
      <w:r>
        <w:t xml:space="preserve">• </w:t>
      </w:r>
      <w:r>
        <w:t>travailler avec les builds et build configs</w:t>
      </w:r>
    </w:p>
    <w:p>
      <w:pPr>
        <w:spacing w:after="20"/>
        <w:ind w:left="142" w:hanging="125"/>
      </w:pPr>
      <w:r>
        <w:t xml:space="preserve">• </w:t>
      </w:r>
      <w:r>
        <w:t>publier des images dans le registre OpenShift</w:t>
      </w:r>
    </w:p>
    <w:p>
      <w:pPr>
        <w:spacing w:after="20"/>
        <w:ind w:left="142" w:hanging="125"/>
      </w:pPr>
      <w:r>
        <w:t xml:space="preserve">• </w:t>
      </w:r>
      <w:r>
        <w:t>utiliser et personnaliser S2I</w:t>
      </w:r>
    </w:p>
    <w:p>
      <w:pPr>
        <w:pStyle w:val="Heading2Custom"/>
      </w:pPr>
      <w:r>
        <w:t>C — Déploiements composés</w:t>
      </w:r>
    </w:p>
    <w:p>
      <w:pPr>
        <w:spacing w:after="20"/>
        <w:ind w:left="142" w:hanging="125"/>
      </w:pPr>
      <w:r>
        <w:t xml:space="preserve">• </w:t>
      </w:r>
      <w:r>
        <w:t>applications multi-conteneurs</w:t>
      </w:r>
    </w:p>
    <w:p>
      <w:pPr>
        <w:spacing w:after="20"/>
        <w:ind w:left="142" w:hanging="125"/>
      </w:pPr>
      <w:r>
        <w:t xml:space="preserve">• </w:t>
      </w:r>
      <w:r>
        <w:t>Helm charts</w:t>
      </w:r>
    </w:p>
    <w:p>
      <w:pPr>
        <w:spacing w:after="20"/>
        <w:ind w:left="142" w:hanging="125"/>
      </w:pPr>
      <w:r>
        <w:t xml:space="preserve">• </w:t>
      </w:r>
      <w:r>
        <w:t>Kustomize</w:t>
      </w:r>
    </w:p>
    <w:p>
      <w:pPr>
        <w:spacing w:after="20"/>
        <w:ind w:left="142" w:hanging="125"/>
      </w:pPr>
      <w:r>
        <w:t xml:space="preserve">• </w:t>
      </w:r>
      <w:r>
        <w:t>templates OpenShift avec paramètres personnalisés</w:t>
      </w:r>
    </w:p>
    <w:p>
      <w:pPr>
        <w:pStyle w:val="Heading2Custom"/>
      </w:pPr>
      <w:r>
        <w:t>D — Configuration et cycle de vie</w:t>
      </w:r>
    </w:p>
    <w:p>
      <w:pPr>
        <w:spacing w:after="20"/>
        <w:ind w:left="142" w:hanging="125"/>
      </w:pPr>
      <w:r>
        <w:t xml:space="preserve">• </w:t>
      </w:r>
      <w:r>
        <w:t>ConfigMaps et Secrets</w:t>
      </w:r>
    </w:p>
    <w:p>
      <w:pPr>
        <w:spacing w:after="20"/>
        <w:ind w:left="142" w:hanging="125"/>
      </w:pPr>
      <w:r>
        <w:t xml:space="preserve">• </w:t>
      </w:r>
      <w:r>
        <w:t>injection de configuration dans les applications</w:t>
      </w:r>
    </w:p>
    <w:p>
      <w:pPr>
        <w:spacing w:after="20"/>
        <w:ind w:left="142" w:hanging="125"/>
      </w:pPr>
      <w:r>
        <w:t xml:space="preserve">• </w:t>
      </w:r>
      <w:r>
        <w:t>hooks, triggers et mises à jour sur changement d’image stream</w:t>
      </w:r>
    </w:p>
    <w:p>
      <w:pPr>
        <w:pStyle w:val="Heading2Custom"/>
      </w:pPr>
      <w:r>
        <w:t>E — Diagnostic</w:t>
      </w:r>
    </w:p>
    <w:p>
      <w:pPr>
        <w:spacing w:after="20"/>
        <w:ind w:left="142" w:hanging="125"/>
      </w:pPr>
      <w:r>
        <w:t xml:space="preserve">• </w:t>
      </w:r>
      <w:r>
        <w:t>corriger des problèmes mineurs de build</w:t>
      </w:r>
    </w:p>
    <w:p>
      <w:pPr>
        <w:spacing w:after="20"/>
        <w:ind w:left="142" w:hanging="125"/>
      </w:pPr>
      <w:r>
        <w:t xml:space="preserve">• </w:t>
      </w:r>
      <w:r>
        <w:t>corriger des problèmes mineurs de déploiement</w:t>
      </w:r>
    </w:p>
    <w:p>
      <w:pPr>
        <w:spacing w:after="20"/>
        <w:ind w:left="142" w:hanging="125"/>
      </w:pPr>
      <w:r>
        <w:t xml:space="preserve">• </w:t>
      </w:r>
      <w:r>
        <w:t>déboguer les image streams et le cycle de livraison</w:t>
      </w:r>
    </w:p>
    <w:p>
      <w:pPr>
        <w:pStyle w:val="Heading2Custom"/>
      </w:pPr>
      <w:r>
        <w:t>F — CI/CD et Operators</w:t>
      </w:r>
    </w:p>
    <w:p>
      <w:pPr>
        <w:spacing w:after="20"/>
        <w:ind w:left="142" w:hanging="125"/>
      </w:pPr>
      <w:r>
        <w:t xml:space="preserve">• </w:t>
      </w:r>
      <w:r>
        <w:t>comprendre la logique CI/CD dans OpenShift</w:t>
      </w:r>
    </w:p>
    <w:p>
      <w:pPr>
        <w:spacing w:after="20"/>
        <w:ind w:left="142" w:hanging="125"/>
      </w:pPr>
      <w:r>
        <w:t xml:space="preserve">• </w:t>
      </w:r>
      <w:r>
        <w:t>travailler avec les ressources Tekton standard</w:t>
      </w:r>
    </w:p>
    <w:p>
      <w:pPr>
        <w:spacing w:after="20"/>
        <w:ind w:left="142" w:hanging="125"/>
      </w:pPr>
      <w:r>
        <w:t xml:space="preserve">• </w:t>
      </w:r>
      <w:r>
        <w:t>concevoir, lancer et dépanner un pipeline</w:t>
      </w:r>
    </w:p>
    <w:p>
      <w:pPr>
        <w:spacing w:after="20"/>
        <w:ind w:left="142" w:hanging="125"/>
      </w:pPr>
      <w:r>
        <w:t xml:space="preserve">• </w:t>
      </w:r>
      <w:r>
        <w:t>créer des applications à partir d’Operators déjà disponibles</w:t>
      </w:r>
    </w:p>
    <w:p>
      <w:pPr>
        <w:pStyle w:val="Heading1Custom"/>
      </w:pPr>
      <w:r>
        <w:t>4. Ce qu’il faut prioriser</w:t>
      </w:r>
    </w:p>
    <w:tbl>
      <w:tblPr>
        <w:tblW w:type="auto" w:w="0"/>
        <w:jc w:val="center"/>
        <w:tblLayout w:type="fixed"/>
        <w:tblLook w:firstColumn="1" w:firstRow="1" w:lastColumn="0" w:lastRow="0" w:noHBand="0" w:noVBand="1" w:val="04A0"/>
      </w:tblPr>
      <w:tblGrid>
        <w:gridCol w:w="2550"/>
        <w:gridCol w:w="2550"/>
        <w:gridCol w:w="2550"/>
        <w:gridCol w:w="2550"/>
      </w:tblGrid>
      <w:tr>
        <w:trPr>
          <w:cantSplit/>
        </w:trPr>
        <w:tc>
          <w:tcPr>
            <w:tcW w:type="dxa" w:w="2268"/>
            <w:shd w:fill="EDEDED"/>
            <w:tcMar>
              <w:top w:w="60" w:type="dxa"/>
              <w:start w:w="70" w:type="dxa"/>
              <w:bottom w:w="60" w:type="dxa"/>
              <w:end w:w="70" w:type="dxa"/>
            </w:tcMar>
          </w:tcPr>
          <w:p>
            <w:pPr>
              <w:jc w:val="center"/>
            </w:pPr>
            <w:r>
              <w:rPr>
                <w:b/>
                <w:sz w:val="18"/>
              </w:rPr>
              <w:t>Domaine</w:t>
            </w:r>
          </w:p>
        </w:tc>
        <w:tc>
          <w:tcPr>
            <w:tcW w:type="dxa" w:w="1247"/>
            <w:shd w:fill="EDEDED"/>
            <w:tcMar>
              <w:top w:w="60" w:type="dxa"/>
              <w:start w:w="70" w:type="dxa"/>
              <w:bottom w:w="60" w:type="dxa"/>
              <w:end w:w="70" w:type="dxa"/>
            </w:tcMar>
          </w:tcPr>
          <w:p>
            <w:pPr>
              <w:jc w:val="center"/>
            </w:pPr>
            <w:r>
              <w:rPr>
                <w:b/>
                <w:sz w:val="18"/>
              </w:rPr>
              <w:t>Priorité</w:t>
            </w:r>
          </w:p>
        </w:tc>
        <w:tc>
          <w:tcPr>
            <w:tcW w:type="dxa" w:w="2041"/>
            <w:shd w:fill="EDEDED"/>
            <w:tcMar>
              <w:top w:w="60" w:type="dxa"/>
              <w:start w:w="70" w:type="dxa"/>
              <w:bottom w:w="60" w:type="dxa"/>
              <w:end w:w="70" w:type="dxa"/>
            </w:tcMar>
          </w:tcPr>
          <w:p>
            <w:pPr>
              <w:jc w:val="center"/>
            </w:pPr>
            <w:r>
              <w:rPr>
                <w:b/>
                <w:sz w:val="18"/>
              </w:rPr>
              <w:t>Pourquoi</w:t>
            </w:r>
          </w:p>
        </w:tc>
        <w:tc>
          <w:tcPr>
            <w:tcW w:type="dxa" w:w="2835"/>
            <w:shd w:fill="EDEDED"/>
            <w:tcMar>
              <w:top w:w="60" w:type="dxa"/>
              <w:start w:w="70" w:type="dxa"/>
              <w:bottom w:w="60" w:type="dxa"/>
              <w:end w:w="70" w:type="dxa"/>
            </w:tcMar>
          </w:tcPr>
          <w:p>
            <w:pPr>
              <w:jc w:val="center"/>
            </w:pPr>
            <w:r>
              <w:rPr>
                <w:b/>
                <w:sz w:val="18"/>
              </w:rPr>
              <w:t>À savoir faire vite</w:t>
            </w:r>
          </w:p>
        </w:tc>
      </w:tr>
      <w:tr>
        <w:trPr>
          <w:cantSplit/>
        </w:trPr>
        <w:tc>
          <w:tcPr>
            <w:tcW w:type="dxa" w:w="2550"/>
            <w:tcMar>
              <w:top w:w="55" w:type="dxa"/>
              <w:start w:w="70" w:type="dxa"/>
              <w:bottom w:w="55" w:type="dxa"/>
              <w:end w:w="70" w:type="dxa"/>
            </w:tcMar>
            <w:vAlign w:val="center"/>
          </w:tcPr>
          <w:p>
            <w:pPr>
              <w:jc w:val="left"/>
            </w:pPr>
            <w:r>
              <w:rPr>
                <w:sz w:val="18"/>
              </w:rPr>
              <w:t>Projets, applis, services, routes</w:t>
            </w:r>
          </w:p>
        </w:tc>
        <w:tc>
          <w:tcPr>
            <w:tcW w:type="dxa" w:w="2550"/>
            <w:tcMar>
              <w:top w:w="55" w:type="dxa"/>
              <w:start w:w="70" w:type="dxa"/>
              <w:bottom w:w="55" w:type="dxa"/>
              <w:end w:w="70" w:type="dxa"/>
            </w:tcMar>
            <w:vAlign w:val="center"/>
            <w:shd w:fill="F6EAEA"/>
          </w:tcPr>
          <w:p>
            <w:pPr>
              <w:jc w:val="center"/>
            </w:pPr>
            <w:r>
              <w:rPr>
                <w:sz w:val="18"/>
              </w:rPr>
              <w:t>Très haute</w:t>
            </w:r>
          </w:p>
        </w:tc>
        <w:tc>
          <w:tcPr>
            <w:tcW w:type="dxa" w:w="2550"/>
            <w:tcMar>
              <w:top w:w="55" w:type="dxa"/>
              <w:start w:w="70" w:type="dxa"/>
              <w:bottom w:w="55" w:type="dxa"/>
              <w:end w:w="70" w:type="dxa"/>
            </w:tcMar>
            <w:vAlign w:val="center"/>
          </w:tcPr>
          <w:p>
            <w:pPr>
              <w:jc w:val="left"/>
            </w:pPr>
            <w:r>
              <w:rPr>
                <w:sz w:val="18"/>
              </w:rPr>
              <w:t>socle de tout le reste</w:t>
            </w:r>
          </w:p>
        </w:tc>
        <w:tc>
          <w:tcPr>
            <w:tcW w:type="dxa" w:w="2550"/>
            <w:tcMar>
              <w:top w:w="55" w:type="dxa"/>
              <w:start w:w="70" w:type="dxa"/>
              <w:bottom w:w="55" w:type="dxa"/>
              <w:end w:w="70" w:type="dxa"/>
            </w:tcMar>
            <w:vAlign w:val="center"/>
          </w:tcPr>
          <w:p>
            <w:pPr>
              <w:jc w:val="left"/>
            </w:pPr>
            <w:r>
              <w:rPr>
                <w:sz w:val="18"/>
              </w:rPr>
              <w:t>créer, exposer, tester</w:t>
            </w:r>
          </w:p>
        </w:tc>
      </w:tr>
      <w:tr>
        <w:trPr>
          <w:cantSplit/>
        </w:trPr>
        <w:tc>
          <w:tcPr>
            <w:tcW w:type="dxa" w:w="2550"/>
            <w:tcMar>
              <w:top w:w="55" w:type="dxa"/>
              <w:start w:w="70" w:type="dxa"/>
              <w:bottom w:w="55" w:type="dxa"/>
              <w:end w:w="70" w:type="dxa"/>
            </w:tcMar>
            <w:vAlign w:val="center"/>
          </w:tcPr>
          <w:p>
            <w:pPr>
              <w:jc w:val="left"/>
            </w:pPr>
            <w:r>
              <w:rPr>
                <w:sz w:val="18"/>
              </w:rPr>
              <w:t>ConfigMaps, Secrets, probes</w:t>
            </w:r>
          </w:p>
        </w:tc>
        <w:tc>
          <w:tcPr>
            <w:tcW w:type="dxa" w:w="2550"/>
            <w:tcMar>
              <w:top w:w="55" w:type="dxa"/>
              <w:start w:w="70" w:type="dxa"/>
              <w:bottom w:w="55" w:type="dxa"/>
              <w:end w:w="70" w:type="dxa"/>
            </w:tcMar>
            <w:vAlign w:val="center"/>
            <w:shd w:fill="F6EAEA"/>
          </w:tcPr>
          <w:p>
            <w:pPr>
              <w:jc w:val="center"/>
            </w:pPr>
            <w:r>
              <w:rPr>
                <w:sz w:val="18"/>
              </w:rPr>
              <w:t>Très haute</w:t>
            </w:r>
          </w:p>
        </w:tc>
        <w:tc>
          <w:tcPr>
            <w:tcW w:type="dxa" w:w="2550"/>
            <w:tcMar>
              <w:top w:w="55" w:type="dxa"/>
              <w:start w:w="70" w:type="dxa"/>
              <w:bottom w:w="55" w:type="dxa"/>
              <w:end w:w="70" w:type="dxa"/>
            </w:tcMar>
            <w:vAlign w:val="center"/>
          </w:tcPr>
          <w:p>
            <w:pPr>
              <w:jc w:val="left"/>
            </w:pPr>
            <w:r>
              <w:rPr>
                <w:sz w:val="18"/>
              </w:rPr>
              <w:t>présents dans beaucoup de cas</w:t>
            </w:r>
          </w:p>
        </w:tc>
        <w:tc>
          <w:tcPr>
            <w:tcW w:type="dxa" w:w="2550"/>
            <w:tcMar>
              <w:top w:w="55" w:type="dxa"/>
              <w:start w:w="70" w:type="dxa"/>
              <w:bottom w:w="55" w:type="dxa"/>
              <w:end w:w="70" w:type="dxa"/>
            </w:tcMar>
            <w:vAlign w:val="center"/>
          </w:tcPr>
          <w:p>
            <w:pPr>
              <w:jc w:val="left"/>
            </w:pPr>
            <w:r>
              <w:rPr>
                <w:sz w:val="18"/>
              </w:rPr>
              <w:t>monter, injecter, valider</w:t>
            </w:r>
          </w:p>
        </w:tc>
      </w:tr>
      <w:tr>
        <w:trPr>
          <w:cantSplit/>
        </w:trPr>
        <w:tc>
          <w:tcPr>
            <w:tcW w:type="dxa" w:w="2550"/>
            <w:tcMar>
              <w:top w:w="55" w:type="dxa"/>
              <w:start w:w="70" w:type="dxa"/>
              <w:bottom w:w="55" w:type="dxa"/>
              <w:end w:w="70" w:type="dxa"/>
            </w:tcMar>
            <w:vAlign w:val="center"/>
          </w:tcPr>
          <w:p>
            <w:pPr>
              <w:jc w:val="left"/>
            </w:pPr>
            <w:r>
              <w:rPr>
                <w:sz w:val="18"/>
              </w:rPr>
              <w:t>Builds, images, registry, S2I</w:t>
            </w:r>
          </w:p>
        </w:tc>
        <w:tc>
          <w:tcPr>
            <w:tcW w:type="dxa" w:w="2550"/>
            <w:tcMar>
              <w:top w:w="55" w:type="dxa"/>
              <w:start w:w="70" w:type="dxa"/>
              <w:bottom w:w="55" w:type="dxa"/>
              <w:end w:w="70" w:type="dxa"/>
            </w:tcMar>
            <w:vAlign w:val="center"/>
            <w:shd w:fill="F6EAEA"/>
          </w:tcPr>
          <w:p>
            <w:pPr>
              <w:jc w:val="center"/>
            </w:pPr>
            <w:r>
              <w:rPr>
                <w:sz w:val="18"/>
              </w:rPr>
              <w:t>Très haute</w:t>
            </w:r>
          </w:p>
        </w:tc>
        <w:tc>
          <w:tcPr>
            <w:tcW w:type="dxa" w:w="2550"/>
            <w:tcMar>
              <w:top w:w="55" w:type="dxa"/>
              <w:start w:w="70" w:type="dxa"/>
              <w:bottom w:w="55" w:type="dxa"/>
              <w:end w:w="70" w:type="dxa"/>
            </w:tcMar>
            <w:vAlign w:val="center"/>
          </w:tcPr>
          <w:p>
            <w:pPr>
              <w:jc w:val="left"/>
            </w:pPr>
            <w:r>
              <w:rPr>
                <w:sz w:val="18"/>
              </w:rPr>
              <w:t>cœur du packaging</w:t>
            </w:r>
          </w:p>
        </w:tc>
        <w:tc>
          <w:tcPr>
            <w:tcW w:type="dxa" w:w="2550"/>
            <w:tcMar>
              <w:top w:w="55" w:type="dxa"/>
              <w:start w:w="70" w:type="dxa"/>
              <w:bottom w:w="55" w:type="dxa"/>
              <w:end w:w="70" w:type="dxa"/>
            </w:tcMar>
            <w:vAlign w:val="center"/>
          </w:tcPr>
          <w:p>
            <w:pPr>
              <w:jc w:val="left"/>
            </w:pPr>
            <w:r>
              <w:rPr>
                <w:sz w:val="18"/>
              </w:rPr>
              <w:t>builder, tagger, publier</w:t>
            </w:r>
          </w:p>
        </w:tc>
      </w:tr>
      <w:tr>
        <w:trPr>
          <w:cantSplit/>
        </w:trPr>
        <w:tc>
          <w:tcPr>
            <w:tcW w:type="dxa" w:w="2550"/>
            <w:tcMar>
              <w:top w:w="55" w:type="dxa"/>
              <w:start w:w="70" w:type="dxa"/>
              <w:bottom w:w="55" w:type="dxa"/>
              <w:end w:w="70" w:type="dxa"/>
            </w:tcMar>
            <w:vAlign w:val="center"/>
          </w:tcPr>
          <w:p>
            <w:pPr>
              <w:jc w:val="left"/>
            </w:pPr>
            <w:r>
              <w:rPr>
                <w:sz w:val="18"/>
              </w:rPr>
              <w:t>Helm, Kustomize, templates</w:t>
            </w:r>
          </w:p>
        </w:tc>
        <w:tc>
          <w:tcPr>
            <w:tcW w:type="dxa" w:w="2550"/>
            <w:tcMar>
              <w:top w:w="55" w:type="dxa"/>
              <w:start w:w="70" w:type="dxa"/>
              <w:bottom w:w="55" w:type="dxa"/>
              <w:end w:w="70" w:type="dxa"/>
            </w:tcMar>
            <w:vAlign w:val="center"/>
            <w:shd w:fill="F6EAEA"/>
          </w:tcPr>
          <w:p>
            <w:pPr>
              <w:jc w:val="center"/>
            </w:pPr>
            <w:r>
              <w:rPr>
                <w:sz w:val="18"/>
              </w:rPr>
              <w:t>Haute</w:t>
            </w:r>
          </w:p>
        </w:tc>
        <w:tc>
          <w:tcPr>
            <w:tcW w:type="dxa" w:w="2550"/>
            <w:tcMar>
              <w:top w:w="55" w:type="dxa"/>
              <w:start w:w="70" w:type="dxa"/>
              <w:bottom w:w="55" w:type="dxa"/>
              <w:end w:w="70" w:type="dxa"/>
            </w:tcMar>
            <w:vAlign w:val="center"/>
          </w:tcPr>
          <w:p>
            <w:pPr>
              <w:jc w:val="left"/>
            </w:pPr>
            <w:r>
              <w:rPr>
                <w:sz w:val="18"/>
              </w:rPr>
              <w:t>personnalisation et multi-conteneurs</w:t>
            </w:r>
          </w:p>
        </w:tc>
        <w:tc>
          <w:tcPr>
            <w:tcW w:type="dxa" w:w="2550"/>
            <w:tcMar>
              <w:top w:w="55" w:type="dxa"/>
              <w:start w:w="70" w:type="dxa"/>
              <w:bottom w:w="55" w:type="dxa"/>
              <w:end w:w="70" w:type="dxa"/>
            </w:tcMar>
            <w:vAlign w:val="center"/>
          </w:tcPr>
          <w:p>
            <w:pPr>
              <w:jc w:val="left"/>
            </w:pPr>
            <w:r>
              <w:rPr>
                <w:sz w:val="18"/>
              </w:rPr>
              <w:t>paramétrer puis appliquer</w:t>
            </w:r>
          </w:p>
        </w:tc>
      </w:tr>
      <w:tr>
        <w:trPr>
          <w:cantSplit/>
        </w:trPr>
        <w:tc>
          <w:tcPr>
            <w:tcW w:type="dxa" w:w="2550"/>
            <w:tcMar>
              <w:top w:w="55" w:type="dxa"/>
              <w:start w:w="70" w:type="dxa"/>
              <w:bottom w:w="55" w:type="dxa"/>
              <w:end w:w="70" w:type="dxa"/>
            </w:tcMar>
            <w:vAlign w:val="center"/>
          </w:tcPr>
          <w:p>
            <w:pPr>
              <w:jc w:val="left"/>
            </w:pPr>
            <w:r>
              <w:rPr>
                <w:sz w:val="18"/>
              </w:rPr>
              <w:t>Tekton / Pipelines</w:t>
            </w:r>
          </w:p>
        </w:tc>
        <w:tc>
          <w:tcPr>
            <w:tcW w:type="dxa" w:w="2550"/>
            <w:tcMar>
              <w:top w:w="55" w:type="dxa"/>
              <w:start w:w="70" w:type="dxa"/>
              <w:bottom w:w="55" w:type="dxa"/>
              <w:end w:w="70" w:type="dxa"/>
            </w:tcMar>
            <w:vAlign w:val="center"/>
            <w:shd w:fill="F6EAEA"/>
          </w:tcPr>
          <w:p>
            <w:pPr>
              <w:jc w:val="center"/>
            </w:pPr>
            <w:r>
              <w:rPr>
                <w:sz w:val="18"/>
              </w:rPr>
              <w:t>Haute</w:t>
            </w:r>
          </w:p>
        </w:tc>
        <w:tc>
          <w:tcPr>
            <w:tcW w:type="dxa" w:w="2550"/>
            <w:tcMar>
              <w:top w:w="55" w:type="dxa"/>
              <w:start w:w="70" w:type="dxa"/>
              <w:bottom w:w="55" w:type="dxa"/>
              <w:end w:w="70" w:type="dxa"/>
            </w:tcMar>
            <w:vAlign w:val="center"/>
          </w:tcPr>
          <w:p>
            <w:pPr>
              <w:jc w:val="left"/>
            </w:pPr>
            <w:r>
              <w:rPr>
                <w:sz w:val="18"/>
              </w:rPr>
              <w:t>objectif CI/CD explicite</w:t>
            </w:r>
          </w:p>
        </w:tc>
        <w:tc>
          <w:tcPr>
            <w:tcW w:type="dxa" w:w="2550"/>
            <w:tcMar>
              <w:top w:w="55" w:type="dxa"/>
              <w:start w:w="70" w:type="dxa"/>
              <w:bottom w:w="55" w:type="dxa"/>
              <w:end w:w="70" w:type="dxa"/>
            </w:tcMar>
            <w:vAlign w:val="center"/>
          </w:tcPr>
          <w:p>
            <w:pPr>
              <w:jc w:val="left"/>
            </w:pPr>
            <w:r>
              <w:rPr>
                <w:sz w:val="18"/>
              </w:rPr>
              <w:t>lire, exécuter, dépanner</w:t>
            </w:r>
          </w:p>
        </w:tc>
      </w:tr>
      <w:tr>
        <w:trPr>
          <w:cantSplit/>
        </w:trPr>
        <w:tc>
          <w:tcPr>
            <w:tcW w:type="dxa" w:w="2550"/>
            <w:tcMar>
              <w:top w:w="55" w:type="dxa"/>
              <w:start w:w="70" w:type="dxa"/>
              <w:bottom w:w="55" w:type="dxa"/>
              <w:end w:w="70" w:type="dxa"/>
            </w:tcMar>
            <w:vAlign w:val="center"/>
          </w:tcPr>
          <w:p>
            <w:pPr>
              <w:jc w:val="left"/>
            </w:pPr>
            <w:r>
              <w:rPr>
                <w:sz w:val="18"/>
              </w:rPr>
              <w:t>Operators utilisateur</w:t>
            </w:r>
          </w:p>
        </w:tc>
        <w:tc>
          <w:tcPr>
            <w:tcW w:type="dxa" w:w="2550"/>
            <w:tcMar>
              <w:top w:w="55" w:type="dxa"/>
              <w:start w:w="70" w:type="dxa"/>
              <w:bottom w:w="55" w:type="dxa"/>
              <w:end w:w="70" w:type="dxa"/>
            </w:tcMar>
            <w:vAlign w:val="center"/>
            <w:shd w:fill="F6EAEA"/>
          </w:tcPr>
          <w:p>
            <w:pPr>
              <w:jc w:val="center"/>
            </w:pPr>
            <w:r>
              <w:rPr>
                <w:sz w:val="18"/>
              </w:rPr>
              <w:t>Moyenne</w:t>
            </w:r>
          </w:p>
        </w:tc>
        <w:tc>
          <w:tcPr>
            <w:tcW w:type="dxa" w:w="2550"/>
            <w:tcMar>
              <w:top w:w="55" w:type="dxa"/>
              <w:start w:w="70" w:type="dxa"/>
              <w:bottom w:w="55" w:type="dxa"/>
              <w:end w:w="70" w:type="dxa"/>
            </w:tcMar>
            <w:vAlign w:val="center"/>
          </w:tcPr>
          <w:p>
            <w:pPr>
              <w:jc w:val="left"/>
            </w:pPr>
            <w:r>
              <w:rPr>
                <w:sz w:val="18"/>
              </w:rPr>
              <w:t>plus ciblé</w:t>
            </w:r>
          </w:p>
        </w:tc>
        <w:tc>
          <w:tcPr>
            <w:tcW w:type="dxa" w:w="2550"/>
            <w:tcMar>
              <w:top w:w="55" w:type="dxa"/>
              <w:start w:w="70" w:type="dxa"/>
              <w:bottom w:w="55" w:type="dxa"/>
              <w:end w:w="70" w:type="dxa"/>
            </w:tcMar>
            <w:vAlign w:val="center"/>
          </w:tcPr>
          <w:p>
            <w:pPr>
              <w:jc w:val="left"/>
            </w:pPr>
            <w:r>
              <w:rPr>
                <w:sz w:val="18"/>
              </w:rPr>
              <w:t>instancier proprement</w:t>
            </w:r>
          </w:p>
        </w:tc>
      </w:tr>
    </w:tbl>
    <w:p>
      <w:pPr>
        <w:pStyle w:val="Heading1Custom"/>
      </w:pPr>
      <w:r>
        <w:t>5. Parcours conseillé</w:t>
      </w:r>
    </w:p>
    <w:p>
      <w:pPr>
        <w:pStyle w:val="Heading2Custom"/>
      </w:pPr>
      <w:r>
        <w:t>Parcours officiel Red Hat</w:t>
      </w:r>
    </w:p>
    <w:p>
      <w:pPr>
        <w:spacing w:after="20"/>
        <w:ind w:left="142" w:hanging="125"/>
      </w:pPr>
      <w:r>
        <w:t xml:space="preserve">• </w:t>
      </w:r>
      <w:r>
        <w:t>DO188 pour la base conteneurs et Podman</w:t>
      </w:r>
    </w:p>
    <w:p>
      <w:pPr>
        <w:spacing w:after="20"/>
        <w:ind w:left="142" w:hanging="125"/>
      </w:pPr>
      <w:r>
        <w:t xml:space="preserve">• </w:t>
      </w:r>
      <w:r>
        <w:t>EX188 en renfort si tu veux verrouiller la base</w:t>
      </w:r>
    </w:p>
    <w:p>
      <w:pPr>
        <w:spacing w:after="20"/>
        <w:ind w:left="142" w:hanging="125"/>
      </w:pPr>
      <w:r>
        <w:t xml:space="preserve">• </w:t>
      </w:r>
      <w:r>
        <w:t>DO288 comme préparation principale</w:t>
      </w:r>
    </w:p>
    <w:p>
      <w:pPr>
        <w:spacing w:after="20"/>
        <w:ind w:left="142" w:hanging="125"/>
      </w:pPr>
      <w:r>
        <w:t xml:space="preserve">• </w:t>
      </w:r>
      <w:r>
        <w:t>EX288 comme certification développeur OpenShift</w:t>
      </w:r>
    </w:p>
    <w:p>
      <w:pPr>
        <w:pStyle w:val="Heading2Custom"/>
      </w:pPr>
      <w:r>
        <w:t>Vision terrain</w:t>
      </w:r>
    </w:p>
    <w:p>
      <w:pPr>
        <w:spacing w:after="20"/>
        <w:ind w:left="142" w:hanging="125"/>
      </w:pPr>
      <w:r>
        <w:t xml:space="preserve">• </w:t>
      </w:r>
      <w:r>
        <w:t>si tu connais déjà Kubernetes, ne néglige pas Podman, images et builds</w:t>
      </w:r>
    </w:p>
    <w:p>
      <w:pPr>
        <w:spacing w:after="20"/>
        <w:ind w:left="142" w:hanging="125"/>
      </w:pPr>
      <w:r>
        <w:t xml:space="preserve">• </w:t>
      </w:r>
      <w:r>
        <w:t>si tu viens de l’exploitation, pousse Helm, Kustomize, S2I et Tekton</w:t>
      </w:r>
    </w:p>
    <w:p>
      <w:pPr>
        <w:spacing w:after="20"/>
        <w:ind w:left="142" w:hanging="125"/>
      </w:pPr>
      <w:r>
        <w:t xml:space="preserve">• </w:t>
      </w:r>
      <w:r>
        <w:t>si tu viens du développement, travaille davantage le diagnostic OpenShift</w:t>
      </w:r>
    </w:p>
    <w:p>
      <w:pPr>
        <w:pStyle w:val="Heading1Custom"/>
      </w:pPr>
      <w:r>
        <w:t>6. Plan de travail sur 4 semaines</w:t>
      </w:r>
    </w:p>
    <w:tbl>
      <w:tblPr>
        <w:tblW w:type="auto" w:w="0"/>
        <w:jc w:val="center"/>
        <w:tblLayout w:type="fixed"/>
        <w:tblLook w:firstColumn="1" w:firstRow="1" w:lastColumn="0" w:lastRow="0" w:noHBand="0" w:noVBand="1" w:val="04A0"/>
      </w:tblPr>
      <w:tblGrid>
        <w:gridCol w:w="3400"/>
        <w:gridCol w:w="3400"/>
        <w:gridCol w:w="3400"/>
      </w:tblGrid>
      <w:tr>
        <w:trPr>
          <w:cantSplit/>
        </w:trPr>
        <w:tc>
          <w:tcPr>
            <w:tcW w:type="dxa" w:w="1531"/>
            <w:shd w:fill="AA0000"/>
            <w:tcMar>
              <w:top w:w="55" w:type="dxa"/>
              <w:start w:w="70" w:type="dxa"/>
              <w:bottom w:w="55" w:type="dxa"/>
              <w:end w:w="70" w:type="dxa"/>
            </w:tcMar>
          </w:tcPr>
          <w:p>
            <w:pPr>
              <w:jc w:val="center"/>
            </w:pPr>
            <w:r>
              <w:rPr>
                <w:b/>
                <w:color w:val="FFFFFF"/>
                <w:sz w:val="18"/>
              </w:rPr>
              <w:t>Période</w:t>
            </w:r>
          </w:p>
        </w:tc>
        <w:tc>
          <w:tcPr>
            <w:tcW w:type="dxa" w:w="1587"/>
            <w:shd w:fill="AA0000"/>
            <w:tcMar>
              <w:top w:w="55" w:type="dxa"/>
              <w:start w:w="70" w:type="dxa"/>
              <w:bottom w:w="55" w:type="dxa"/>
              <w:end w:w="70" w:type="dxa"/>
            </w:tcMar>
          </w:tcPr>
          <w:p>
            <w:pPr>
              <w:jc w:val="center"/>
            </w:pPr>
            <w:r>
              <w:rPr>
                <w:b/>
                <w:color w:val="FFFFFF"/>
                <w:sz w:val="18"/>
              </w:rPr>
              <w:t>Focus</w:t>
            </w:r>
          </w:p>
        </w:tc>
        <w:tc>
          <w:tcPr>
            <w:tcW w:type="dxa" w:w="5669"/>
            <w:shd w:fill="AA0000"/>
            <w:tcMar>
              <w:top w:w="55" w:type="dxa"/>
              <w:start w:w="70" w:type="dxa"/>
              <w:bottom w:w="55" w:type="dxa"/>
              <w:end w:w="70" w:type="dxa"/>
            </w:tcMar>
          </w:tcPr>
          <w:p>
            <w:pPr>
              <w:jc w:val="center"/>
            </w:pPr>
            <w:r>
              <w:rPr>
                <w:b/>
                <w:color w:val="FFFFFF"/>
                <w:sz w:val="18"/>
              </w:rPr>
              <w:t>Résultat attendu</w:t>
            </w:r>
          </w:p>
        </w:tc>
      </w:tr>
      <w:tr>
        <w:trPr>
          <w:cantSplit/>
        </w:trPr>
        <w:tc>
          <w:tcPr>
            <w:tcW w:type="dxa" w:w="3400"/>
            <w:tcMar>
              <w:top w:w="55" w:type="dxa"/>
              <w:start w:w="70" w:type="dxa"/>
              <w:bottom w:w="55" w:type="dxa"/>
              <w:end w:w="70" w:type="dxa"/>
            </w:tcMar>
          </w:tcPr>
          <w:p>
            <w:r>
              <w:rPr>
                <w:sz w:val="18"/>
              </w:rPr>
              <w:t>S1</w:t>
            </w:r>
          </w:p>
        </w:tc>
        <w:tc>
          <w:tcPr>
            <w:tcW w:type="dxa" w:w="3400"/>
            <w:tcMar>
              <w:top w:w="55" w:type="dxa"/>
              <w:start w:w="70" w:type="dxa"/>
              <w:bottom w:w="55" w:type="dxa"/>
              <w:end w:w="70" w:type="dxa"/>
            </w:tcMar>
            <w:shd w:fill="F6EAEA"/>
          </w:tcPr>
          <w:p>
            <w:r>
              <w:rPr>
                <w:sz w:val="18"/>
              </w:rPr>
              <w:t>fondations</w:t>
            </w:r>
          </w:p>
        </w:tc>
        <w:tc>
          <w:tcPr>
            <w:tcW w:type="dxa" w:w="3400"/>
            <w:tcMar>
              <w:top w:w="55" w:type="dxa"/>
              <w:start w:w="70" w:type="dxa"/>
              <w:bottom w:w="55" w:type="dxa"/>
              <w:end w:w="70" w:type="dxa"/>
            </w:tcMar>
          </w:tcPr>
          <w:p>
            <w:r>
              <w:rPr>
                <w:sz w:val="18"/>
              </w:rPr>
              <w:t>projets, routes, console, probes, Git, commandes de base</w:t>
            </w:r>
          </w:p>
        </w:tc>
      </w:tr>
      <w:tr>
        <w:trPr>
          <w:cantSplit/>
        </w:trPr>
        <w:tc>
          <w:tcPr>
            <w:tcW w:type="dxa" w:w="3400"/>
            <w:tcMar>
              <w:top w:w="55" w:type="dxa"/>
              <w:start w:w="70" w:type="dxa"/>
              <w:bottom w:w="55" w:type="dxa"/>
              <w:end w:w="70" w:type="dxa"/>
            </w:tcMar>
          </w:tcPr>
          <w:p>
            <w:r>
              <w:rPr>
                <w:sz w:val="18"/>
              </w:rPr>
              <w:t>S2</w:t>
            </w:r>
          </w:p>
        </w:tc>
        <w:tc>
          <w:tcPr>
            <w:tcW w:type="dxa" w:w="3400"/>
            <w:tcMar>
              <w:top w:w="55" w:type="dxa"/>
              <w:start w:w="70" w:type="dxa"/>
              <w:bottom w:w="55" w:type="dxa"/>
              <w:end w:w="70" w:type="dxa"/>
            </w:tcMar>
            <w:shd w:fill="F6EAEA"/>
          </w:tcPr>
          <w:p>
            <w:r>
              <w:rPr>
                <w:sz w:val="18"/>
              </w:rPr>
              <w:t>packaging</w:t>
            </w:r>
          </w:p>
        </w:tc>
        <w:tc>
          <w:tcPr>
            <w:tcW w:type="dxa" w:w="3400"/>
            <w:tcMar>
              <w:top w:w="55" w:type="dxa"/>
              <w:start w:w="70" w:type="dxa"/>
              <w:bottom w:w="55" w:type="dxa"/>
              <w:end w:w="70" w:type="dxa"/>
            </w:tcMar>
          </w:tcPr>
          <w:p>
            <w:r>
              <w:rPr>
                <w:sz w:val="18"/>
              </w:rPr>
              <w:t>images, builds, ImageStreams, registre interne, S2I, config</w:t>
            </w:r>
          </w:p>
        </w:tc>
      </w:tr>
      <w:tr>
        <w:trPr>
          <w:cantSplit/>
        </w:trPr>
        <w:tc>
          <w:tcPr>
            <w:tcW w:type="dxa" w:w="3400"/>
            <w:tcMar>
              <w:top w:w="55" w:type="dxa"/>
              <w:start w:w="70" w:type="dxa"/>
              <w:bottom w:w="55" w:type="dxa"/>
              <w:end w:w="70" w:type="dxa"/>
            </w:tcMar>
          </w:tcPr>
          <w:p>
            <w:r>
              <w:rPr>
                <w:sz w:val="18"/>
              </w:rPr>
              <w:t>S3</w:t>
            </w:r>
          </w:p>
        </w:tc>
        <w:tc>
          <w:tcPr>
            <w:tcW w:type="dxa" w:w="3400"/>
            <w:tcMar>
              <w:top w:w="55" w:type="dxa"/>
              <w:start w:w="70" w:type="dxa"/>
              <w:bottom w:w="55" w:type="dxa"/>
              <w:end w:w="70" w:type="dxa"/>
            </w:tcMar>
            <w:shd w:fill="F6EAEA"/>
          </w:tcPr>
          <w:p>
            <w:r>
              <w:rPr>
                <w:sz w:val="18"/>
              </w:rPr>
              <w:t>composition</w:t>
            </w:r>
          </w:p>
        </w:tc>
        <w:tc>
          <w:tcPr>
            <w:tcW w:type="dxa" w:w="3400"/>
            <w:tcMar>
              <w:top w:w="55" w:type="dxa"/>
              <w:start w:w="70" w:type="dxa"/>
              <w:bottom w:w="55" w:type="dxa"/>
              <w:end w:w="70" w:type="dxa"/>
            </w:tcMar>
          </w:tcPr>
          <w:p>
            <w:r>
              <w:rPr>
                <w:sz w:val="18"/>
              </w:rPr>
              <w:t>multi-conteneurs, templates, Helm, Kustomize, triggers</w:t>
            </w:r>
          </w:p>
        </w:tc>
      </w:tr>
      <w:tr>
        <w:trPr>
          <w:cantSplit/>
        </w:trPr>
        <w:tc>
          <w:tcPr>
            <w:tcW w:type="dxa" w:w="3400"/>
            <w:tcMar>
              <w:top w:w="55" w:type="dxa"/>
              <w:start w:w="70" w:type="dxa"/>
              <w:bottom w:w="55" w:type="dxa"/>
              <w:end w:w="70" w:type="dxa"/>
            </w:tcMar>
          </w:tcPr>
          <w:p>
            <w:r>
              <w:rPr>
                <w:sz w:val="18"/>
              </w:rPr>
              <w:t>S4</w:t>
            </w:r>
          </w:p>
        </w:tc>
        <w:tc>
          <w:tcPr>
            <w:tcW w:type="dxa" w:w="3400"/>
            <w:tcMar>
              <w:top w:w="55" w:type="dxa"/>
              <w:start w:w="70" w:type="dxa"/>
              <w:bottom w:w="55" w:type="dxa"/>
              <w:end w:w="70" w:type="dxa"/>
            </w:tcMar>
            <w:shd w:fill="F6EAEA"/>
          </w:tcPr>
          <w:p>
            <w:r>
              <w:rPr>
                <w:sz w:val="18"/>
              </w:rPr>
              <w:t>industrialisation</w:t>
            </w:r>
          </w:p>
        </w:tc>
        <w:tc>
          <w:tcPr>
            <w:tcW w:type="dxa" w:w="3400"/>
            <w:tcMar>
              <w:top w:w="55" w:type="dxa"/>
              <w:start w:w="70" w:type="dxa"/>
              <w:bottom w:w="55" w:type="dxa"/>
              <w:end w:w="70" w:type="dxa"/>
            </w:tcMar>
          </w:tcPr>
          <w:p>
            <w:r>
              <w:rPr>
                <w:sz w:val="18"/>
              </w:rPr>
              <w:t>Tekton, Operators, dépannage chronométré, mini-examens blancs</w:t>
            </w:r>
          </w:p>
        </w:tc>
      </w:tr>
    </w:tbl>
    <w:p>
      <w:pPr>
        <w:pStyle w:val="Heading1Custom"/>
      </w:pPr>
      <w:r>
        <w:t>7. Labs à répéter</w:t>
      </w:r>
    </w:p>
    <w:p>
      <w:pPr>
        <w:spacing w:after="20"/>
        <w:ind w:left="142" w:hanging="125"/>
      </w:pPr>
      <w:r>
        <w:t xml:space="preserve">• </w:t>
      </w:r>
      <w:r>
        <w:t>déployer une application depuis Git puis l’exposer</w:t>
      </w:r>
    </w:p>
    <w:p>
      <w:pPr>
        <w:spacing w:after="20"/>
        <w:ind w:left="142" w:hanging="125"/>
      </w:pPr>
      <w:r>
        <w:t xml:space="preserve">• </w:t>
      </w:r>
      <w:r>
        <w:t>ajouter probes, config externe et secret</w:t>
      </w:r>
    </w:p>
    <w:p>
      <w:pPr>
        <w:spacing w:after="20"/>
        <w:ind w:left="142" w:hanging="125"/>
      </w:pPr>
      <w:r>
        <w:t xml:space="preserve">• </w:t>
      </w:r>
      <w:r>
        <w:t>construire une image puis la publier dans le registre interne</w:t>
      </w:r>
    </w:p>
    <w:p>
      <w:pPr>
        <w:spacing w:after="20"/>
        <w:ind w:left="142" w:hanging="125"/>
      </w:pPr>
      <w:r>
        <w:t xml:space="preserve">• </w:t>
      </w:r>
      <w:r>
        <w:t>déployer une application multi-conteneurs avec Helm et la reparamétrer</w:t>
      </w:r>
    </w:p>
    <w:p>
      <w:pPr>
        <w:spacing w:after="20"/>
        <w:ind w:left="142" w:hanging="125"/>
      </w:pPr>
      <w:r>
        <w:t xml:space="preserve">• </w:t>
      </w:r>
      <w:r>
        <w:t>appliquer Kustomize sur un déploiement existant</w:t>
      </w:r>
    </w:p>
    <w:p>
      <w:pPr>
        <w:spacing w:after="20"/>
        <w:ind w:left="142" w:hanging="125"/>
      </w:pPr>
      <w:r>
        <w:t xml:space="preserve">• </w:t>
      </w:r>
      <w:r>
        <w:t>déclencher un build S2I puis l’ajuster</w:t>
      </w:r>
    </w:p>
    <w:p>
      <w:pPr>
        <w:spacing w:after="20"/>
        <w:ind w:left="142" w:hanging="125"/>
      </w:pPr>
      <w:r>
        <w:t xml:space="preserve">• </w:t>
      </w:r>
      <w:r>
        <w:t>exécuter un pipeline Tekton simple et réparer une erreur volontaire</w:t>
      </w:r>
    </w:p>
    <w:tbl>
      <w:tblPr>
        <w:tblW w:type="auto" w:w="0"/>
        <w:jc w:val="center"/>
        <w:tblLook w:firstColumn="1" w:firstRow="1" w:lastColumn="0" w:lastRow="0" w:noHBand="0" w:noVBand="1" w:val="04A0"/>
      </w:tblPr>
      <w:tblGrid>
        <w:gridCol w:w="10200"/>
      </w:tblGrid>
      <w:tr>
        <w:tc>
          <w:tcPr>
            <w:tcW w:type="dxa" w:w="10200"/>
            <w:shd w:fill="F9F9F9"/>
            <w:tcMar>
              <w:top w:w="85" w:type="dxa"/>
              <w:start w:w="100" w:type="dxa"/>
              <w:bottom w:w="85" w:type="dxa"/>
              <w:end w:w="100" w:type="dxa"/>
            </w:tcMar>
            <w:tcBorders>
              <w:top w:val="single" w:sz="8" w:space="0" w:color="D9D9D9"/>
              <w:left w:val="single" w:sz="8" w:space="0" w:color="D9D9D9"/>
              <w:bottom w:val="single" w:sz="8" w:space="0" w:color="D9D9D9"/>
              <w:right w:val="single" w:sz="8" w:space="0" w:color="D9D9D9"/>
            </w:tcBorders>
          </w:tcPr>
          <w:p>
            <w:pPr>
              <w:pStyle w:val="BoxText"/>
            </w:pPr>
            <w:r>
              <w:t>Pour chaque lab, note : symptôme, commande de diagnostic, correction.</w:t>
            </w:r>
          </w:p>
        </w:tc>
      </w:tr>
    </w:tbl>
    <w:p>
      <w:pPr>
        <w:pStyle w:val="Heading1Custom"/>
      </w:pPr>
      <w:r>
        <w:t>8. Stratégie pendant l’examen</w:t>
      </w:r>
    </w:p>
    <w:p>
      <w:pPr>
        <w:spacing w:after="20"/>
        <w:ind w:left="142" w:hanging="125"/>
      </w:pPr>
      <w:r>
        <w:t xml:space="preserve">• </w:t>
      </w:r>
      <w:r>
        <w:t>lire toutes les consignes avant d’agir</w:t>
      </w:r>
    </w:p>
    <w:p>
      <w:pPr>
        <w:spacing w:after="20"/>
        <w:ind w:left="142" w:hanging="125"/>
      </w:pPr>
      <w:r>
        <w:t xml:space="preserve">• </w:t>
      </w:r>
      <w:r>
        <w:t>sécuriser d’abord les tâches simples</w:t>
      </w:r>
    </w:p>
    <w:p>
      <w:pPr>
        <w:spacing w:after="20"/>
        <w:ind w:left="142" w:hanging="125"/>
      </w:pPr>
      <w:r>
        <w:t xml:space="preserve">• </w:t>
      </w:r>
      <w:r>
        <w:t>tester après chaque action</w:t>
      </w:r>
    </w:p>
    <w:p>
      <w:pPr>
        <w:spacing w:after="20"/>
        <w:ind w:left="142" w:hanging="125"/>
      </w:pPr>
      <w:r>
        <w:t xml:space="preserve">• </w:t>
      </w:r>
      <w:r>
        <w:t>surveiller les noms, namespaces, tags et paramètres</w:t>
      </w:r>
    </w:p>
    <w:p>
      <w:pPr>
        <w:spacing w:after="20"/>
        <w:ind w:left="142" w:hanging="125"/>
      </w:pPr>
      <w:r>
        <w:t xml:space="preserve">• </w:t>
      </w:r>
      <w:r>
        <w:t>utiliser systématiquement logs, describe et events pour diagnostiquer</w:t>
      </w:r>
    </w:p>
    <w:p>
      <w:pPr>
        <w:pStyle w:val="Heading1Custom"/>
      </w:pPr>
      <w:r>
        <w:t>9. Auto-évaluation finale</w:t>
      </w:r>
    </w:p>
    <w:tbl>
      <w:tblPr>
        <w:tblW w:type="auto" w:w="0"/>
        <w:jc w:val="center"/>
        <w:tblLayout w:type="fixed"/>
        <w:tblLook w:firstColumn="1" w:firstRow="1" w:lastColumn="0" w:lastRow="0" w:noHBand="0" w:noVBand="1" w:val="04A0"/>
      </w:tblPr>
      <w:tblGrid>
        <w:gridCol w:w="3400"/>
        <w:gridCol w:w="3400"/>
        <w:gridCol w:w="3400"/>
      </w:tblGrid>
      <w:tr>
        <w:trPr>
          <w:cantSplit/>
        </w:trPr>
        <w:tc>
          <w:tcPr>
            <w:tcW w:type="dxa" w:w="7257"/>
            <w:shd w:fill="EDEDED"/>
            <w:tcMar>
              <w:top w:w="45" w:type="dxa"/>
              <w:start w:w="60" w:type="dxa"/>
              <w:bottom w:w="45" w:type="dxa"/>
              <w:end w:w="60" w:type="dxa"/>
            </w:tcMar>
          </w:tcPr>
          <w:p>
            <w:pPr>
              <w:jc w:val="center"/>
            </w:pPr>
            <w:r>
              <w:rPr>
                <w:b/>
                <w:sz w:val="17"/>
              </w:rPr>
              <w:t>Point de contrôle</w:t>
            </w:r>
          </w:p>
        </w:tc>
        <w:tc>
          <w:tcPr>
            <w:tcW w:type="dxa" w:w="964"/>
            <w:shd w:fill="EDEDED"/>
            <w:tcMar>
              <w:top w:w="45" w:type="dxa"/>
              <w:start w:w="60" w:type="dxa"/>
              <w:bottom w:w="45" w:type="dxa"/>
              <w:end w:w="60" w:type="dxa"/>
            </w:tcMar>
          </w:tcPr>
          <w:p>
            <w:pPr>
              <w:jc w:val="center"/>
            </w:pPr>
            <w:r>
              <w:rPr>
                <w:b/>
                <w:sz w:val="17"/>
              </w:rPr>
              <w:t>OK</w:t>
            </w:r>
          </w:p>
        </w:tc>
        <w:tc>
          <w:tcPr>
            <w:tcW w:type="dxa" w:w="964"/>
            <w:shd w:fill="EDEDED"/>
            <w:tcMar>
              <w:top w:w="45" w:type="dxa"/>
              <w:start w:w="60" w:type="dxa"/>
              <w:bottom w:w="45" w:type="dxa"/>
              <w:end w:w="60" w:type="dxa"/>
            </w:tcMar>
          </w:tcPr>
          <w:p>
            <w:pPr>
              <w:jc w:val="center"/>
            </w:pPr>
            <w:r>
              <w:rPr>
                <w:b/>
                <w:sz w:val="17"/>
              </w:rPr>
              <w:t>À revoir</w:t>
            </w:r>
          </w:p>
        </w:tc>
      </w:tr>
      <w:tr>
        <w:trPr>
          <w:cantSplit/>
        </w:trPr>
        <w:tc>
          <w:tcPr>
            <w:tcW w:type="dxa" w:w="3400"/>
            <w:tcMar>
              <w:top w:w="45" w:type="dxa"/>
              <w:start w:w="60" w:type="dxa"/>
              <w:bottom w:w="45" w:type="dxa"/>
              <w:end w:w="60" w:type="dxa"/>
            </w:tcMar>
          </w:tcPr>
          <w:p>
            <w:r>
              <w:rPr>
                <w:sz w:val="17"/>
              </w:rPr>
              <w:t>Je déploie rapidement une application mono ou multi-conteneurs.</w:t>
            </w:r>
          </w:p>
        </w:tc>
        <w:tc>
          <w:tcPr>
            <w:tcW w:type="dxa" w:w="3400"/>
            <w:tcMar>
              <w:top w:w="45" w:type="dxa"/>
              <w:start w:w="60" w:type="dxa"/>
              <w:bottom w:w="45" w:type="dxa"/>
              <w:end w:w="60" w:type="dxa"/>
            </w:tcMar>
          </w:tcPr>
          <w:p>
            <w:pPr>
              <w:jc w:val="center"/>
            </w:pPr>
            <w:r>
              <w:rPr>
                <w:sz w:val="18"/>
              </w:rPr>
              <w:t>☐</w:t>
            </w:r>
          </w:p>
        </w:tc>
        <w:tc>
          <w:tcPr>
            <w:tcW w:type="dxa" w:w="3400"/>
            <w:tcMar>
              <w:top w:w="45" w:type="dxa"/>
              <w:start w:w="60" w:type="dxa"/>
              <w:bottom w:w="45" w:type="dxa"/>
              <w:end w:w="60" w:type="dxa"/>
            </w:tcMar>
          </w:tcPr>
          <w:p>
            <w:pPr>
              <w:jc w:val="center"/>
            </w:pPr>
            <w:r>
              <w:rPr>
                <w:sz w:val="18"/>
              </w:rPr>
              <w:t>☐</w:t>
            </w:r>
          </w:p>
        </w:tc>
      </w:tr>
      <w:tr>
        <w:trPr>
          <w:cantSplit/>
        </w:trPr>
        <w:tc>
          <w:tcPr>
            <w:tcW w:type="dxa" w:w="3400"/>
            <w:tcMar>
              <w:top w:w="45" w:type="dxa"/>
              <w:start w:w="60" w:type="dxa"/>
              <w:bottom w:w="45" w:type="dxa"/>
              <w:end w:w="60" w:type="dxa"/>
            </w:tcMar>
          </w:tcPr>
          <w:p>
            <w:r>
              <w:rPr>
                <w:sz w:val="17"/>
              </w:rPr>
              <w:t>Je configure ConfigMaps, Secrets et probes sans hésitation.</w:t>
            </w:r>
          </w:p>
        </w:tc>
        <w:tc>
          <w:tcPr>
            <w:tcW w:type="dxa" w:w="3400"/>
            <w:tcMar>
              <w:top w:w="45" w:type="dxa"/>
              <w:start w:w="60" w:type="dxa"/>
              <w:bottom w:w="45" w:type="dxa"/>
              <w:end w:w="60" w:type="dxa"/>
            </w:tcMar>
          </w:tcPr>
          <w:p>
            <w:pPr>
              <w:jc w:val="center"/>
            </w:pPr>
            <w:r>
              <w:rPr>
                <w:sz w:val="18"/>
              </w:rPr>
              <w:t>☐</w:t>
            </w:r>
          </w:p>
        </w:tc>
        <w:tc>
          <w:tcPr>
            <w:tcW w:type="dxa" w:w="3400"/>
            <w:tcMar>
              <w:top w:w="45" w:type="dxa"/>
              <w:start w:w="60" w:type="dxa"/>
              <w:bottom w:w="45" w:type="dxa"/>
              <w:end w:w="60" w:type="dxa"/>
            </w:tcMar>
          </w:tcPr>
          <w:p>
            <w:pPr>
              <w:jc w:val="center"/>
            </w:pPr>
            <w:r>
              <w:rPr>
                <w:sz w:val="18"/>
              </w:rPr>
              <w:t>☐</w:t>
            </w:r>
          </w:p>
        </w:tc>
      </w:tr>
      <w:tr>
        <w:trPr>
          <w:cantSplit/>
        </w:trPr>
        <w:tc>
          <w:tcPr>
            <w:tcW w:type="dxa" w:w="3400"/>
            <w:tcMar>
              <w:top w:w="45" w:type="dxa"/>
              <w:start w:w="60" w:type="dxa"/>
              <w:bottom w:w="45" w:type="dxa"/>
              <w:end w:w="60" w:type="dxa"/>
            </w:tcMar>
          </w:tcPr>
          <w:p>
            <w:r>
              <w:rPr>
                <w:sz w:val="17"/>
              </w:rPr>
              <w:t>Je corrige un problème de build, d’image, de déploiement ou de route.</w:t>
            </w:r>
          </w:p>
        </w:tc>
        <w:tc>
          <w:tcPr>
            <w:tcW w:type="dxa" w:w="3400"/>
            <w:tcMar>
              <w:top w:w="45" w:type="dxa"/>
              <w:start w:w="60" w:type="dxa"/>
              <w:bottom w:w="45" w:type="dxa"/>
              <w:end w:w="60" w:type="dxa"/>
            </w:tcMar>
          </w:tcPr>
          <w:p>
            <w:pPr>
              <w:jc w:val="center"/>
            </w:pPr>
            <w:r>
              <w:rPr>
                <w:sz w:val="18"/>
              </w:rPr>
              <w:t>☐</w:t>
            </w:r>
          </w:p>
        </w:tc>
        <w:tc>
          <w:tcPr>
            <w:tcW w:type="dxa" w:w="3400"/>
            <w:tcMar>
              <w:top w:w="45" w:type="dxa"/>
              <w:start w:w="60" w:type="dxa"/>
              <w:bottom w:w="45" w:type="dxa"/>
              <w:end w:w="60" w:type="dxa"/>
            </w:tcMar>
          </w:tcPr>
          <w:p>
            <w:pPr>
              <w:jc w:val="center"/>
            </w:pPr>
            <w:r>
              <w:rPr>
                <w:sz w:val="18"/>
              </w:rPr>
              <w:t>☐</w:t>
            </w:r>
          </w:p>
        </w:tc>
      </w:tr>
      <w:tr>
        <w:trPr>
          <w:cantSplit/>
        </w:trPr>
        <w:tc>
          <w:tcPr>
            <w:tcW w:type="dxa" w:w="3400"/>
            <w:tcMar>
              <w:top w:w="45" w:type="dxa"/>
              <w:start w:w="60" w:type="dxa"/>
              <w:bottom w:w="45" w:type="dxa"/>
              <w:end w:w="60" w:type="dxa"/>
            </w:tcMar>
          </w:tcPr>
          <w:p>
            <w:r>
              <w:rPr>
                <w:sz w:val="17"/>
              </w:rPr>
              <w:t>Je travaille avec le registre interne et les ImageStreams.</w:t>
            </w:r>
          </w:p>
        </w:tc>
        <w:tc>
          <w:tcPr>
            <w:tcW w:type="dxa" w:w="3400"/>
            <w:tcMar>
              <w:top w:w="45" w:type="dxa"/>
              <w:start w:w="60" w:type="dxa"/>
              <w:bottom w:w="45" w:type="dxa"/>
              <w:end w:w="60" w:type="dxa"/>
            </w:tcMar>
          </w:tcPr>
          <w:p>
            <w:pPr>
              <w:jc w:val="center"/>
            </w:pPr>
            <w:r>
              <w:rPr>
                <w:sz w:val="18"/>
              </w:rPr>
              <w:t>☐</w:t>
            </w:r>
          </w:p>
        </w:tc>
        <w:tc>
          <w:tcPr>
            <w:tcW w:type="dxa" w:w="3400"/>
            <w:tcMar>
              <w:top w:w="45" w:type="dxa"/>
              <w:start w:w="60" w:type="dxa"/>
              <w:bottom w:w="45" w:type="dxa"/>
              <w:end w:w="60" w:type="dxa"/>
            </w:tcMar>
          </w:tcPr>
          <w:p>
            <w:pPr>
              <w:jc w:val="center"/>
            </w:pPr>
            <w:r>
              <w:rPr>
                <w:sz w:val="18"/>
              </w:rPr>
              <w:t>☐</w:t>
            </w:r>
          </w:p>
        </w:tc>
      </w:tr>
      <w:tr>
        <w:trPr>
          <w:cantSplit/>
        </w:trPr>
        <w:tc>
          <w:tcPr>
            <w:tcW w:type="dxa" w:w="3400"/>
            <w:tcMar>
              <w:top w:w="45" w:type="dxa"/>
              <w:start w:w="60" w:type="dxa"/>
              <w:bottom w:w="45" w:type="dxa"/>
              <w:end w:w="60" w:type="dxa"/>
            </w:tcMar>
          </w:tcPr>
          <w:p>
            <w:r>
              <w:rPr>
                <w:sz w:val="17"/>
              </w:rPr>
              <w:t>Je sais utiliser S2I et publier l’image résultante.</w:t>
            </w:r>
          </w:p>
        </w:tc>
        <w:tc>
          <w:tcPr>
            <w:tcW w:type="dxa" w:w="3400"/>
            <w:tcMar>
              <w:top w:w="45" w:type="dxa"/>
              <w:start w:w="60" w:type="dxa"/>
              <w:bottom w:w="45" w:type="dxa"/>
              <w:end w:w="60" w:type="dxa"/>
            </w:tcMar>
          </w:tcPr>
          <w:p>
            <w:pPr>
              <w:jc w:val="center"/>
            </w:pPr>
            <w:r>
              <w:rPr>
                <w:sz w:val="18"/>
              </w:rPr>
              <w:t>☐</w:t>
            </w:r>
          </w:p>
        </w:tc>
        <w:tc>
          <w:tcPr>
            <w:tcW w:type="dxa" w:w="3400"/>
            <w:tcMar>
              <w:top w:w="45" w:type="dxa"/>
              <w:start w:w="60" w:type="dxa"/>
              <w:bottom w:w="45" w:type="dxa"/>
              <w:end w:w="60" w:type="dxa"/>
            </w:tcMar>
          </w:tcPr>
          <w:p>
            <w:pPr>
              <w:jc w:val="center"/>
            </w:pPr>
            <w:r>
              <w:rPr>
                <w:sz w:val="18"/>
              </w:rPr>
              <w:t>☐</w:t>
            </w:r>
          </w:p>
        </w:tc>
      </w:tr>
      <w:tr>
        <w:trPr>
          <w:cantSplit/>
        </w:trPr>
        <w:tc>
          <w:tcPr>
            <w:tcW w:type="dxa" w:w="3400"/>
            <w:tcMar>
              <w:top w:w="45" w:type="dxa"/>
              <w:start w:w="60" w:type="dxa"/>
              <w:bottom w:w="45" w:type="dxa"/>
              <w:end w:w="60" w:type="dxa"/>
            </w:tcMar>
          </w:tcPr>
          <w:p>
            <w:r>
              <w:rPr>
                <w:sz w:val="17"/>
              </w:rPr>
              <w:t>Je sais adapter Helm et Kustomize.</w:t>
            </w:r>
          </w:p>
        </w:tc>
        <w:tc>
          <w:tcPr>
            <w:tcW w:type="dxa" w:w="3400"/>
            <w:tcMar>
              <w:top w:w="45" w:type="dxa"/>
              <w:start w:w="60" w:type="dxa"/>
              <w:bottom w:w="45" w:type="dxa"/>
              <w:end w:w="60" w:type="dxa"/>
            </w:tcMar>
          </w:tcPr>
          <w:p>
            <w:pPr>
              <w:jc w:val="center"/>
            </w:pPr>
            <w:r>
              <w:rPr>
                <w:sz w:val="18"/>
              </w:rPr>
              <w:t>☐</w:t>
            </w:r>
          </w:p>
        </w:tc>
        <w:tc>
          <w:tcPr>
            <w:tcW w:type="dxa" w:w="3400"/>
            <w:tcMar>
              <w:top w:w="45" w:type="dxa"/>
              <w:start w:w="60" w:type="dxa"/>
              <w:bottom w:w="45" w:type="dxa"/>
              <w:end w:w="60" w:type="dxa"/>
            </w:tcMar>
          </w:tcPr>
          <w:p>
            <w:pPr>
              <w:jc w:val="center"/>
            </w:pPr>
            <w:r>
              <w:rPr>
                <w:sz w:val="18"/>
              </w:rPr>
              <w:t>☐</w:t>
            </w:r>
          </w:p>
        </w:tc>
      </w:tr>
      <w:tr>
        <w:trPr>
          <w:cantSplit/>
        </w:trPr>
        <w:tc>
          <w:tcPr>
            <w:tcW w:type="dxa" w:w="3400"/>
            <w:tcMar>
              <w:top w:w="45" w:type="dxa"/>
              <w:start w:w="60" w:type="dxa"/>
              <w:bottom w:w="45" w:type="dxa"/>
              <w:end w:w="60" w:type="dxa"/>
            </w:tcMar>
          </w:tcPr>
          <w:p>
            <w:r>
              <w:rPr>
                <w:sz w:val="17"/>
              </w:rPr>
              <w:t>Je comprends et lance un pipeline Tekton simple.</w:t>
            </w:r>
          </w:p>
        </w:tc>
        <w:tc>
          <w:tcPr>
            <w:tcW w:type="dxa" w:w="3400"/>
            <w:tcMar>
              <w:top w:w="45" w:type="dxa"/>
              <w:start w:w="60" w:type="dxa"/>
              <w:bottom w:w="45" w:type="dxa"/>
              <w:end w:w="60" w:type="dxa"/>
            </w:tcMar>
          </w:tcPr>
          <w:p>
            <w:pPr>
              <w:jc w:val="center"/>
            </w:pPr>
            <w:r>
              <w:rPr>
                <w:sz w:val="18"/>
              </w:rPr>
              <w:t>☐</w:t>
            </w:r>
          </w:p>
        </w:tc>
        <w:tc>
          <w:tcPr>
            <w:tcW w:type="dxa" w:w="3400"/>
            <w:tcMar>
              <w:top w:w="45" w:type="dxa"/>
              <w:start w:w="60" w:type="dxa"/>
              <w:bottom w:w="45" w:type="dxa"/>
              <w:end w:w="60" w:type="dxa"/>
            </w:tcMar>
          </w:tcPr>
          <w:p>
            <w:pPr>
              <w:jc w:val="center"/>
            </w:pPr>
            <w:r>
              <w:rPr>
                <w:sz w:val="18"/>
              </w:rPr>
              <w:t>☐</w:t>
            </w:r>
          </w:p>
        </w:tc>
      </w:tr>
    </w:tbl>
    <w:p>
      <w:pPr>
        <w:pStyle w:val="Heading1Custom"/>
      </w:pPr>
      <w:r>
        <w:t>10. Sources officielles</w:t>
      </w:r>
    </w:p>
    <w:p>
      <w:r>
        <w:t>Synthèse réalisée à partir des pages officielles Red Hat consacrées à EX288, à la certification OpenShift Application Developer, au cours DO288, au cours DO188 et au skills path OpenShift.</w:t>
      </w:r>
    </w:p>
    <w:p>
      <w:pPr>
        <w:pStyle w:val="SmallNote"/>
      </w:pPr>
      <w:r>
        <w:t>Vérifier la page officielle EX288 avant inscription : objectifs, version OpenShift et modalités peuvent évoluer.</w:t>
      </w:r>
    </w:p>
    <w:p>
      <w:pPr>
        <w:pStyle w:val="Heading1Custom"/>
      </w:pPr>
      <w:r>
        <w:t>11. À retenir en priorité</w:t>
      </w:r>
    </w:p>
    <w:tbl>
      <w:tblPr>
        <w:tblW w:type="auto" w:w="0"/>
        <w:jc w:val="center"/>
        <w:tblLook w:firstColumn="1" w:firstRow="1" w:lastColumn="0" w:lastRow="0" w:noHBand="0" w:noVBand="1" w:val="04A0"/>
      </w:tblPr>
      <w:tblGrid>
        <w:gridCol w:w="10200"/>
      </w:tblGrid>
      <w:tr>
        <w:tc>
          <w:tcPr>
            <w:tcW w:type="dxa" w:w="10200"/>
            <w:shd w:fill="F9F9F9"/>
            <w:tcMar>
              <w:top w:w="85" w:type="dxa"/>
              <w:start w:w="100" w:type="dxa"/>
              <w:bottom w:w="85" w:type="dxa"/>
              <w:end w:w="100" w:type="dxa"/>
            </w:tcMar>
          </w:tcPr>
          <w:p>
            <w:pPr>
              <w:pStyle w:val="BoxText"/>
            </w:pPr>
            <w:r>
              <w:t>1) Maîtriser les objets OpenShift de base.</w:t>
              <w:br/>
              <w:t>2) Être rapide sur images, builds et registre interne.</w:t>
              <w:br/>
              <w:t>3) Savoir lire un déploiement multi-conteneurs avec Helm ou Kustomize.</w:t>
              <w:br/>
              <w:t>4) Savoir diagnostiquer avec logs, describe et événements.</w:t>
              <w:br/>
              <w:t>5) Entraîner Tekton juste assez pour exécuter et dépanner un pipeline simple.</w:t>
            </w:r>
          </w:p>
        </w:tc>
      </w:tr>
    </w:tbl>
    <w:sectPr w:rsidR="00FC693F" w:rsidRPr="0006063C" w:rsidSect="00034616">
      <w:footerReference w:type="default" r:id="rId9"/>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EX288 — Guide de préparation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pPr>
      <w:spacing w:after="40"/>
    </w:pPr>
    <w:rPr>
      <w:rFonts w:ascii="Aptos Display" w:hAnsi="Aptos Display"/>
      <w:b/>
      <w:color w:val="AA0000"/>
      <w:sz w:val="48"/>
    </w:rPr>
  </w:style>
  <w:style w:type="paragraph" w:customStyle="1" w:styleId="SubtitleCustom">
    <w:name w:val="SubtitleCustom"/>
    <w:basedOn w:val="Subtitle"/>
    <w:pPr>
      <w:spacing w:after="60"/>
    </w:pPr>
    <w:rPr>
      <w:color w:val="5A5A5A"/>
      <w:sz w:val="22"/>
    </w:rPr>
  </w:style>
  <w:style w:type="paragraph" w:customStyle="1" w:styleId="Heading1Custom">
    <w:name w:val="Heading1Custom"/>
    <w:basedOn w:val="Heading1"/>
    <w:pPr>
      <w:keepNext/>
      <w:spacing w:before="160" w:after="80"/>
    </w:pPr>
    <w:rPr>
      <w:rFonts w:ascii="Aptos Display" w:hAnsi="Aptos Display"/>
      <w:b/>
      <w:color w:val="232323"/>
      <w:sz w:val="30"/>
    </w:rPr>
  </w:style>
  <w:style w:type="paragraph" w:customStyle="1" w:styleId="Heading2Custom">
    <w:name w:val="Heading2Custom"/>
    <w:basedOn w:val="Heading2"/>
    <w:pPr>
      <w:keepNext/>
      <w:spacing w:before="140" w:after="40"/>
    </w:pPr>
    <w:rPr>
      <w:rFonts w:ascii="Aptos Display" w:hAnsi="Aptos Display"/>
      <w:b/>
      <w:color w:val="AA0000"/>
      <w:sz w:val="23"/>
    </w:rPr>
  </w:style>
  <w:style w:type="paragraph" w:customStyle="1" w:styleId="SmallNote">
    <w:name w:val="SmallNote"/>
    <w:basedOn w:val="Normal"/>
    <w:pPr>
      <w:spacing w:after="40"/>
    </w:pPr>
    <w:rPr>
      <w:color w:val="5F5F5F"/>
      <w:sz w:val="17"/>
    </w:rPr>
  </w:style>
  <w:style w:type="paragraph" w:customStyle="1" w:styleId="BoxText">
    <w:name w:val="BoxText"/>
    <w:basedOn w:val="Normal"/>
    <w:pPr>
      <w:spacing w:after="0"/>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