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after="80" w:line="240" w:lineRule="auto"/>
        <w:jc w:val="center"/>
      </w:pPr>
      <w:r>
        <w:rPr>
          <w:rFonts w:ascii="DejaVu Sans" w:hAnsi="DejaVu Sans"/>
          <w:b/>
          <w:color w:val="AD0000"/>
          <w:sz w:val="52"/>
        </w:rPr>
        <w:t>EX288</w:t>
      </w:r>
    </w:p>
    <w:p>
      <w:pPr>
        <w:pStyle w:val="Subtitle"/>
        <w:spacing w:before="0" w:after="40" w:line="240" w:lineRule="auto"/>
        <w:jc w:val="center"/>
      </w:pPr>
      <w:r>
        <w:rPr>
          <w:rFonts w:ascii="DejaVu Sans" w:hAnsi="DejaVu Sans"/>
          <w:sz w:val="28"/>
        </w:rPr>
        <w:t>Guide de préparation FR - Version 2</w:t>
      </w:r>
    </w:p>
    <w:p>
      <w:pPr>
        <w:spacing w:before="0" w:after="280" w:line="240" w:lineRule="auto"/>
        <w:jc w:val="center"/>
      </w:pPr>
      <w:r>
        <w:rPr>
          <w:i/>
          <w:color w:val="5A5A5A"/>
        </w:rPr>
        <w:t>Document révisé après analyse critique et réalignement sur les objectifs officiels Red Hat</w:t>
      </w:r>
    </w:p>
    <w:p>
      <w:pPr>
        <w:spacing w:before="0" w:after="0" w:line="240" w:lineRule="auto"/>
        <w:jc w:val="center"/>
      </w:pPr>
      <w:r>
        <w:t>Référence d'examen : Red Hat Certified OpenShift Application Developer</w:t>
      </w:r>
    </w:p>
    <w:p>
      <w:pPr>
        <w:spacing w:before="0" w:after="0" w:line="240" w:lineRule="auto"/>
        <w:jc w:val="center"/>
      </w:pPr>
      <w:r>
        <w:t>Base produit : OpenShift Container Platform 4.18</w:t>
      </w:r>
    </w:p>
    <w:p>
      <w:pPr>
        <w:spacing w:before="0" w:after="320" w:line="240" w:lineRule="auto"/>
        <w:jc w:val="center"/>
      </w:pPr>
      <w:r>
        <w:t>Nature : examen pratique de 3 heures orienté déploiement, build, dépannage et CI/CD sur OpenShift</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0" w:color="D9D9D9"/>
          <w:insideV w:val="single" w:sz="0" w:color="D9D9D9"/>
        </w:tblBorders>
      </w:tblPr>
      <w:tblGrid>
        <w:gridCol w:w="10086"/>
      </w:tblGrid>
      <w:tr>
        <w:tc>
          <w:tcPr>
            <w:tcW w:type="dxa" w:w="10086"/>
            <w:shd w:fill="F7F7F7"/>
            <w:tcMar>
              <w:top w:w="100" w:type="dxa"/>
              <w:start w:w="140" w:type="dxa"/>
              <w:bottom w:w="100" w:type="dxa"/>
              <w:end w:w="140" w:type="dxa"/>
            </w:tcMar>
            <w:vAlign w:val="center"/>
          </w:tcPr>
          <w:p>
            <w:r>
              <w:rPr>
                <w:rFonts w:ascii="DejaVu Sans" w:hAnsi="DejaVu Sans"/>
                <w:b/>
                <w:color w:val="AD0000"/>
                <w:sz w:val="21"/>
              </w:rPr>
              <w:t>Ce que change cette V2</w:t>
            </w:r>
          </w:p>
          <w:p>
            <w:pPr>
              <w:spacing w:before="40" w:after="0"/>
            </w:pPr>
            <w:r>
              <w:rPr>
                <w:rFonts w:ascii="DejaVu Sans" w:hAnsi="DejaVu Sans"/>
                <w:sz w:val="20"/>
              </w:rPr>
              <w:t>Cette version corrige les angles morts de la première édition : meilleure fidélité aux Study points officiels, visibilité accrue sur ImageStreams, S2I custom, hooks/triggers, templates OpenShift, registry interne, pipelines Tekton, et séparation explicite entre sujets nommés officiellement et sujets seulement utiles en entraînement.</w:t>
            </w:r>
          </w:p>
        </w:tc>
      </w:tr>
    </w:tbl>
    <w:p/>
    <w:p>
      <w:pPr>
        <w:pStyle w:val="Heading1"/>
        <w:spacing w:before="40" w:after="120" w:line="240" w:lineRule="auto"/>
      </w:pPr>
      <w:r>
        <w:t>Avertissement méthodologique</w:t>
      </w:r>
    </w:p>
    <w:p>
      <w:pPr>
        <w:spacing w:before="0" w:after="160" w:line="240" w:lineRule="auto"/>
      </w:pPr>
      <w:r>
        <w:t>Ce guide privilégie les informations directement publiées par Red Hat pour EX288, DO288 et DO188. Quand un sujet est seulement "probable" ou "utile à pratiquer" sans être nommé tel quel dans les objectifs officiels, il est indiqué comme tel et non présenté comme une exigence certaine.</w:t>
      </w:r>
    </w:p>
    <w:p>
      <w:r>
        <w:br w:type="page"/>
      </w:r>
    </w:p>
    <w:p>
      <w:pPr>
        <w:pStyle w:val="Heading1"/>
        <w:spacing w:before="0" w:after="120" w:line="240" w:lineRule="auto"/>
      </w:pPr>
      <w:r>
        <w:t>1. Positionnement exact de l'EX288</w:t>
      </w:r>
    </w:p>
    <w:p>
      <w:pPr>
        <w:spacing w:before="0" w:after="120" w:line="240" w:lineRule="auto"/>
      </w:pPr>
      <w:r>
        <w:t>EX288 valide la capacité à déployer des applications existantes dans OpenShift. Le public visé couvre les développeurs d'applications, les ingénieurs DevOps et les SRE travaillant avec OpenShift. Red Hat indique que l'examen est basé sur OpenShift 4.18, dure 3 heures, et repose uniquement sur des tâches pratiques évaluées selon des critères objectifs de résultat.</w:t>
      </w:r>
    </w:p>
    <w:p>
      <w:pPr>
        <w:pStyle w:val="ListBullet"/>
        <w:spacing w:after="30" w:before="0" w:line="252" w:lineRule="auto"/>
      </w:pPr>
      <w:r>
        <w:rPr>
          <w:rFonts w:ascii="DejaVu Sans" w:hAnsi="DejaVu Sans"/>
          <w:sz w:val="20"/>
        </w:rPr>
        <w:t>Ce n'est pas un examen théorique ni un QCM.</w:t>
      </w:r>
    </w:p>
    <w:p>
      <w:pPr>
        <w:pStyle w:val="ListBullet"/>
        <w:spacing w:after="30" w:before="0" w:line="252" w:lineRule="auto"/>
      </w:pPr>
      <w:r>
        <w:rPr>
          <w:rFonts w:ascii="DejaVu Sans" w:hAnsi="DejaVu Sans"/>
          <w:sz w:val="20"/>
        </w:rPr>
        <w:t>Le code applicatif n'a généralement pas à être réécrit ; il faut surtout savoir déployer, configurer, construire, corriger et valider.</w:t>
      </w:r>
    </w:p>
    <w:p>
      <w:pPr>
        <w:pStyle w:val="ListBullet"/>
        <w:spacing w:after="30" w:before="0" w:line="252" w:lineRule="auto"/>
      </w:pPr>
      <w:r>
        <w:rPr>
          <w:rFonts w:ascii="DejaVu Sans" w:hAnsi="DejaVu Sans"/>
          <w:sz w:val="20"/>
        </w:rPr>
        <w:t>Le périmètre réel est plus large qu'un simple « oc apply » : build, image streams, registry, templates, S2I, pipelines, dépannage.</w:t>
      </w:r>
    </w:p>
    <w:p>
      <w:pPr>
        <w:pStyle w:val="ListBullet"/>
        <w:spacing w:after="30" w:before="0" w:line="252" w:lineRule="auto"/>
      </w:pPr>
      <w:r>
        <w:rPr>
          <w:rFonts w:ascii="DejaVu Sans" w:hAnsi="DejaVu Sans"/>
          <w:sz w:val="20"/>
        </w:rPr>
        <w:t>Red Hat ne détaille pas le score par item sur la page officielle ; les résultats sont reportés comme un score total.</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0" w:color="D9D9D9"/>
          <w:insideV w:val="single" w:sz="0" w:color="D9D9D9"/>
        </w:tblBorders>
      </w:tblPr>
      <w:tblGrid>
        <w:gridCol w:w="10086"/>
      </w:tblGrid>
      <w:tr>
        <w:tc>
          <w:tcPr>
            <w:tcW w:type="dxa" w:w="10086"/>
            <w:shd w:fill="F7F7F7"/>
            <w:tcMar>
              <w:top w:w="100" w:type="dxa"/>
              <w:start w:w="140" w:type="dxa"/>
              <w:bottom w:w="100" w:type="dxa"/>
              <w:end w:w="140" w:type="dxa"/>
            </w:tcMar>
            <w:vAlign w:val="center"/>
          </w:tcPr>
          <w:p>
            <w:r>
              <w:rPr>
                <w:rFonts w:ascii="DejaVu Sans" w:hAnsi="DejaVu Sans"/>
                <w:b/>
                <w:color w:val="AD0000"/>
                <w:sz w:val="21"/>
              </w:rPr>
              <w:t>Ce qu'il faut retenir</w:t>
            </w:r>
          </w:p>
          <w:p>
            <w:pPr>
              <w:spacing w:before="40" w:after="0"/>
            </w:pPr>
            <w:r>
              <w:rPr>
                <w:rFonts w:ascii="DejaVu Sans" w:hAnsi="DejaVu Sans"/>
                <w:sz w:val="20"/>
              </w:rPr>
              <w:t>Le critère décisif est le résultat observable sur le cluster. Une commande élégante mais un déploiement non fonctionnel ne rapporte pas le point.</w:t>
            </w:r>
          </w:p>
        </w:tc>
      </w:tr>
    </w:tbl>
    <w:p/>
    <w:p>
      <w:pPr>
        <w:pStyle w:val="Heading1"/>
        <w:spacing w:before="0" w:after="120" w:line="240" w:lineRule="auto"/>
      </w:pPr>
      <w:r>
        <w:t>2. Ce que disent officiellement les Study points</w:t>
      </w:r>
    </w:p>
    <w:p>
      <w:pPr>
        <w:spacing w:before="0" w:after="160" w:line="240" w:lineRule="auto"/>
      </w:pPr>
      <w:r>
        <w:t>Les Study points publiés par Red Hat pour EX288 couvrent les blocs suivants. Le tableau ci-dessous les reformule en français, sans changer le sens.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2381"/>
            <w:shd w:fill="AD0000"/>
            <w:vAlign w:val="center"/>
            <w:tcMar>
              <w:top w:w="80" w:type="dxa"/>
              <w:start w:w="100" w:type="dxa"/>
              <w:bottom w:w="80" w:type="dxa"/>
              <w:end w:w="100" w:type="dxa"/>
            </w:tcMar>
          </w:tcPr>
          <w:p>
            <w:pPr>
              <w:spacing w:after="0"/>
              <w:jc w:val="center"/>
            </w:pPr>
            <w:r/>
            <w:r>
              <w:rPr>
                <w:rFonts w:ascii="DejaVu Sans" w:hAnsi="DejaVu Sans"/>
                <w:b/>
                <w:color w:val="FFFFFF"/>
                <w:sz w:val="20"/>
              </w:rPr>
              <w:t>Bloc officiel</w:t>
            </w:r>
          </w:p>
        </w:tc>
        <w:tc>
          <w:tcPr>
            <w:tcW w:type="dxa" w:w="6746"/>
            <w:shd w:fill="AD0000"/>
            <w:vAlign w:val="center"/>
            <w:tcMar>
              <w:top w:w="80" w:type="dxa"/>
              <w:start w:w="100" w:type="dxa"/>
              <w:bottom w:w="80" w:type="dxa"/>
              <w:end w:w="100" w:type="dxa"/>
            </w:tcMar>
          </w:tcPr>
          <w:p>
            <w:pPr>
              <w:spacing w:after="0"/>
              <w:jc w:val="left"/>
            </w:pPr>
            <w:r/>
            <w:r>
              <w:rPr>
                <w:rFonts w:ascii="DejaVu Sans" w:hAnsi="DejaVu Sans"/>
                <w:b/>
                <w:color w:val="FFFFFF"/>
                <w:sz w:val="20"/>
              </w:rPr>
              <w:t>Contenu à maîtriser</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Socle OpenShift</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Projets multiples, applications mono et multi-conteneurs, health checks, usage basique de Git, registry interne, console web</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Déploiement multi-conteneurs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Helm charts et personnalisation avec Kustomize</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Images et builds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Images à partir d'images préconstruites, builds et build configs, custom builder workflows, publication dans le registre OpenShift</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Troubleshooting</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Diagnostic et correction de problèmes mineurs de build et de déploiement</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ImageStreams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Création d'ImageStreams custom, récupération depuis Git, triggers sur changement d'image, debug mineur de déploiement</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ConfigMaps et Secrets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Création, injection de données de configuration et secrets</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S2I</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Build et déploiement avec S2I, customisation de builders S2I existants</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Hooks et triggers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Création d'un hook de build via script fourni, test et validation, pilotage des builds</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Templates</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Création de template OpenShift, usage de templates JSON/YAML existants, templates multi-conteneurs, paramètres custom</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Pipelines Tekton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Compréhension du CI/CD dans OpenShift, usage des CRD Tekton standards, conception / définition / dépannage de workflows, déclenchement des pipelines</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Operators côté utilisateur</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Création d'applications à partir d'Operators déjà installés</w:t>
            </w:r>
          </w:p>
        </w:tc>
      </w:tr>
    </w:tbl>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0" w:color="D9D9D9"/>
          <w:insideV w:val="single" w:sz="0" w:color="D9D9D9"/>
        </w:tblBorders>
      </w:tblPr>
      <w:tblGrid>
        <w:gridCol w:w="10086"/>
      </w:tblGrid>
      <w:tr>
        <w:tc>
          <w:tcPr>
            <w:tcW w:type="dxa" w:w="10086"/>
            <w:shd w:fill="F7F7F7"/>
            <w:tcMar>
              <w:top w:w="100" w:type="dxa"/>
              <w:start w:w="140" w:type="dxa"/>
              <w:bottom w:w="100" w:type="dxa"/>
              <w:end w:w="140" w:type="dxa"/>
            </w:tcMar>
            <w:vAlign w:val="center"/>
          </w:tcPr>
          <w:p>
            <w:r>
              <w:rPr>
                <w:rFonts w:ascii="DejaVu Sans" w:hAnsi="DejaVu Sans"/>
                <w:b/>
                <w:color w:val="AD0000"/>
                <w:sz w:val="21"/>
              </w:rPr>
              <w:t>Correction importante par rapport à la V1</w:t>
            </w:r>
          </w:p>
          <w:p>
            <w:pPr>
              <w:spacing w:before="40" w:after="0"/>
            </w:pPr>
            <w:r>
              <w:rPr>
                <w:rFonts w:ascii="DejaVu Sans" w:hAnsi="DejaVu Sans"/>
                <w:sz w:val="20"/>
              </w:rPr>
              <w:t>Les objectifs officiels mentionnent explicitement les ImageStreams custom, la customisation des builders S2I, les hooks et triggers, les templates multi-conteneurs, les pipelines Tekton et les applications créées à partir d'Operators. Ils méritent donc une place de premier plan dans la préparation.</w:t>
            </w:r>
          </w:p>
        </w:tc>
      </w:tr>
    </w:tbl>
    <w:p/>
    <w:p>
      <w:pPr>
        <w:pStyle w:val="Heading1"/>
        <w:spacing w:before="0" w:after="120" w:line="240" w:lineRule="auto"/>
      </w:pPr>
      <w:r>
        <w:t>3. Ce qui est officiel, adjacent, ou seulement utile</w:t>
      </w:r>
    </w:p>
    <w:p>
      <w:pPr>
        <w:spacing w:before="0" w:after="160" w:line="240" w:lineRule="auto"/>
      </w:pPr>
      <w:r>
        <w:t>Pour éviter de mélanger certitude officielle et bon sens terrain, la préparation ci-dessous distingue trois niveaux.</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531"/>
            <w:shd w:fill="AD0000"/>
            <w:vAlign w:val="center"/>
            <w:tcMar>
              <w:top w:w="80" w:type="dxa"/>
              <w:start w:w="100" w:type="dxa"/>
              <w:bottom w:w="80" w:type="dxa"/>
              <w:end w:w="100" w:type="dxa"/>
            </w:tcMar>
          </w:tcPr>
          <w:p>
            <w:pPr>
              <w:spacing w:after="0"/>
              <w:jc w:val="center"/>
            </w:pPr>
            <w:r/>
            <w:r>
              <w:rPr>
                <w:rFonts w:ascii="DejaVu Sans" w:hAnsi="DejaVu Sans"/>
                <w:b/>
                <w:color w:val="FFFFFF"/>
                <w:sz w:val="20"/>
              </w:rPr>
              <w:t>Niveau</w:t>
            </w:r>
          </w:p>
        </w:tc>
        <w:tc>
          <w:tcPr>
            <w:tcW w:type="dxa" w:w="2948"/>
            <w:shd w:fill="AD0000"/>
            <w:vAlign w:val="center"/>
            <w:tcMar>
              <w:top w:w="80" w:type="dxa"/>
              <w:start w:w="100" w:type="dxa"/>
              <w:bottom w:w="80" w:type="dxa"/>
              <w:end w:w="100" w:type="dxa"/>
            </w:tcMar>
          </w:tcPr>
          <w:p>
            <w:pPr>
              <w:spacing w:after="0"/>
              <w:jc w:val="center"/>
            </w:pPr>
            <w:r/>
            <w:r>
              <w:rPr>
                <w:rFonts w:ascii="DejaVu Sans" w:hAnsi="DejaVu Sans"/>
                <w:b/>
                <w:color w:val="FFFFFF"/>
                <w:sz w:val="20"/>
              </w:rPr>
              <w:t>Définition</w:t>
            </w:r>
          </w:p>
        </w:tc>
        <w:tc>
          <w:tcPr>
            <w:tcW w:type="dxa" w:w="4649"/>
            <w:shd w:fill="AD0000"/>
            <w:vAlign w:val="center"/>
            <w:tcMar>
              <w:top w:w="80" w:type="dxa"/>
              <w:start w:w="100" w:type="dxa"/>
              <w:bottom w:w="80" w:type="dxa"/>
              <w:end w:w="100" w:type="dxa"/>
            </w:tcMar>
          </w:tcPr>
          <w:p>
            <w:pPr>
              <w:spacing w:after="0"/>
              <w:jc w:val="center"/>
            </w:pPr>
            <w:r/>
            <w:r>
              <w:rPr>
                <w:rFonts w:ascii="DejaVu Sans" w:hAnsi="DejaVu Sans"/>
                <w:b/>
                <w:color w:val="FFFFFF"/>
                <w:sz w:val="20"/>
              </w:rPr>
              <w:t>Exemples</w:t>
            </w:r>
          </w:p>
        </w:tc>
      </w:tr>
      <w:tr>
        <w:tc>
          <w:tcPr>
            <w:tcW w:type="dxa" w:w="3362"/>
            <w:vAlign w:val="center"/>
            <w:tcMar>
              <w:top w:w="85" w:type="dxa"/>
              <w:start w:w="95" w:type="dxa"/>
              <w:bottom w:w="85" w:type="dxa"/>
              <w:end w:w="95" w:type="dxa"/>
            </w:tcMar>
          </w:tcPr>
          <w:p>
            <w:pPr>
              <w:spacing w:after="0" w:before="0" w:line="240" w:lineRule="auto"/>
              <w:jc w:val="center"/>
            </w:pPr>
            <w:r/>
            <w:r>
              <w:rPr>
                <w:rFonts w:ascii="DejaVu Sans" w:hAnsi="DejaVu Sans"/>
                <w:sz w:val="19"/>
              </w:rPr>
              <w:t>P1 - explicite</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Sujet libellé directement dans les Study points</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ImageStreams, custom S2I builder, hooks/triggers, templates, Tekton, registry interne</w:t>
            </w:r>
          </w:p>
        </w:tc>
      </w:tr>
      <w:tr>
        <w:tc>
          <w:tcPr>
            <w:tcW w:type="dxa" w:w="3362"/>
            <w:vAlign w:val="center"/>
            <w:tcMar>
              <w:top w:w="85" w:type="dxa"/>
              <w:start w:w="95" w:type="dxa"/>
              <w:bottom w:w="85" w:type="dxa"/>
              <w:end w:w="95" w:type="dxa"/>
            </w:tcMar>
          </w:tcPr>
          <w:p>
            <w:pPr>
              <w:spacing w:after="0" w:before="0" w:line="240" w:lineRule="auto"/>
              <w:jc w:val="center"/>
            </w:pPr>
            <w:r/>
            <w:r>
              <w:rPr>
                <w:rFonts w:ascii="DejaVu Sans" w:hAnsi="DejaVu Sans"/>
                <w:sz w:val="19"/>
              </w:rPr>
              <w:t>P2 - adjacent</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Sujet fortement soutenu par DO288/DO188 et utile à EX288, sans être toujours nommé comme objectif autonome</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Containerfile personnalisé, stratégies de déploiement, migration d'application existante, gestion fine des tags d'image</w:t>
            </w:r>
          </w:p>
        </w:tc>
      </w:tr>
      <w:tr>
        <w:tc>
          <w:tcPr>
            <w:tcW w:type="dxa" w:w="3362"/>
            <w:vAlign w:val="center"/>
            <w:tcMar>
              <w:top w:w="85" w:type="dxa"/>
              <w:start w:w="95" w:type="dxa"/>
              <w:bottom w:w="85" w:type="dxa"/>
              <w:end w:w="95" w:type="dxa"/>
            </w:tcMar>
          </w:tcPr>
          <w:p>
            <w:pPr>
              <w:spacing w:after="0" w:before="0" w:line="240" w:lineRule="auto"/>
              <w:jc w:val="center"/>
            </w:pPr>
            <w:r/>
            <w:r>
              <w:rPr>
                <w:rFonts w:ascii="DejaVu Sans" w:hAnsi="DejaVu Sans"/>
                <w:sz w:val="19"/>
              </w:rPr>
              <w:t>P3 - utile mais non garanti</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Sujet à pratiquer pour être plus robuste, mais à ne pas surpondérer face à P1</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blue-green en tant qu'intitulé, diagnostic RBAC avancé, enchaînement de build complexe non fourni</w:t>
            </w:r>
          </w:p>
        </w:tc>
      </w:tr>
    </w:tbl>
    <w:p/>
    <w:p>
      <w:pPr>
        <w:spacing w:before="0" w:after="120" w:line="240" w:lineRule="auto"/>
      </w:pPr>
      <w:r>
        <w:t>Cette distinction évite deux erreurs classiques : sur-travailler des sujets séduisants mais périphériques, et sous-travailler des sujets explicitement cités par Red Hat mais parfois négligés dans les révisions rapides.</w:t>
      </w:r>
    </w:p>
    <w:p>
      <w:r>
        <w:br w:type="page"/>
      </w:r>
    </w:p>
    <w:p>
      <w:pPr>
        <w:pStyle w:val="Heading1"/>
        <w:spacing w:before="0" w:after="120" w:line="240" w:lineRule="auto"/>
      </w:pPr>
      <w:r>
        <w:t>4. Priorités de travail révisées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531"/>
            <w:shd w:fill="AD0000"/>
            <w:vAlign w:val="center"/>
            <w:tcMar>
              <w:top w:w="80" w:type="dxa"/>
              <w:start w:w="100" w:type="dxa"/>
              <w:bottom w:w="80" w:type="dxa"/>
              <w:end w:w="100" w:type="dxa"/>
            </w:tcMar>
          </w:tcPr>
          <w:p>
            <w:pPr>
              <w:spacing w:after="0"/>
              <w:jc w:val="center"/>
            </w:pPr>
            <w:r/>
            <w:r>
              <w:rPr>
                <w:rFonts w:ascii="DejaVu Sans" w:hAnsi="DejaVu Sans"/>
                <w:b/>
                <w:color w:val="FFFFFF"/>
                <w:sz w:val="20"/>
              </w:rPr>
              <w:t>Priorité</w:t>
            </w:r>
          </w:p>
        </w:tc>
        <w:tc>
          <w:tcPr>
            <w:tcW w:type="dxa" w:w="7597"/>
            <w:shd w:fill="AD0000"/>
            <w:vAlign w:val="center"/>
            <w:tcMar>
              <w:top w:w="80" w:type="dxa"/>
              <w:start w:w="100" w:type="dxa"/>
              <w:bottom w:w="80" w:type="dxa"/>
              <w:end w:w="100" w:type="dxa"/>
            </w:tcMar>
          </w:tcPr>
          <w:p>
            <w:pPr>
              <w:spacing w:after="0"/>
              <w:jc w:val="left"/>
            </w:pPr>
            <w:r/>
            <w:r>
              <w:rPr>
                <w:rFonts w:ascii="DejaVu Sans" w:hAnsi="DejaVu Sans"/>
                <w:b/>
                <w:color w:val="FFFFFF"/>
                <w:sz w:val="20"/>
              </w:rPr>
              <w:t>Pourquoi maintenant</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Très haute</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Projets, services, routes, ConfigMaps, Secrets, probes, builds, registry interne, ImageStreams, S2I, templates, dépannage de base</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Haute</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Helm, Kustomize, hooks/triggers, pipelines Tekton fournis ou semi-fournis, Operators côté utilisateur</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Moyenne</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Containerfile custom, tagging avancé, stratégies de déploiement, debug d'autorisations simple, portage d'application externe</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Basse</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Sujets non nommés explicitement et rarement centraux sans support fourni par l'énoncé</w:t>
            </w:r>
          </w:p>
        </w:tc>
      </w:tr>
    </w:tbl>
    <w:p/>
    <w:p>
      <w:pPr>
        <w:pStyle w:val="Heading1"/>
        <w:spacing w:before="0" w:after="120" w:line="240" w:lineRule="auto"/>
      </w:pPr>
      <w:r>
        <w:t>5. Parcours recommandé réellement à jour</w:t>
      </w:r>
    </w:p>
    <w:p>
      <w:pPr>
        <w:spacing w:before="0" w:after="120" w:line="240" w:lineRule="auto"/>
      </w:pPr>
      <w:r>
        <w:t>Le chemin le plus cohérent est aujourd'hui : DO188 pour le socle conteneurs et Podman, puis DO288 pour la pratique développeur OpenShift, puis EX288. Red Hat indique que DO288 est fortement encouragé pour préparer EX288, et recommande aussi DO188 dans la section Preparation.</w:t>
      </w:r>
    </w:p>
    <w:tbl>
      <w:tblPr>
        <w:tblStyle w:val="TableGrid"/>
        <w:tblW w:type="auto" w:w="0"/>
        <w:jc w:val="center"/>
        <w:tblLook w:firstColumn="1" w:firstRow="1" w:lastColumn="0" w:lastRow="0" w:noHBand="0" w:noVBand="1" w:val="04A0"/>
      </w:tblPr>
      <w:tblGrid>
        <w:gridCol w:w="3362"/>
        <w:gridCol w:w="3362"/>
        <w:gridCol w:w="3362"/>
      </w:tblGrid>
      <w:tr>
        <w:trPr>
          <w:tblHeader w:val="true"/>
        </w:trPr>
        <w:tc>
          <w:tcPr>
            <w:tcW w:type="dxa" w:w="1247"/>
            <w:shd w:fill="AD0000"/>
            <w:vAlign w:val="center"/>
            <w:tcMar>
              <w:top w:w="80" w:type="dxa"/>
              <w:start w:w="100" w:type="dxa"/>
              <w:bottom w:w="80" w:type="dxa"/>
              <w:end w:w="100" w:type="dxa"/>
            </w:tcMar>
          </w:tcPr>
          <w:p>
            <w:pPr>
              <w:spacing w:after="0"/>
              <w:jc w:val="center"/>
            </w:pPr>
            <w:r/>
            <w:r>
              <w:rPr>
                <w:rFonts w:ascii="DejaVu Sans" w:hAnsi="DejaVu Sans"/>
                <w:b/>
                <w:color w:val="FFFFFF"/>
                <w:sz w:val="20"/>
              </w:rPr>
              <w:t>Étape</w:t>
            </w:r>
          </w:p>
        </w:tc>
        <w:tc>
          <w:tcPr>
            <w:tcW w:type="dxa" w:w="2154"/>
            <w:shd w:fill="AD0000"/>
            <w:vAlign w:val="center"/>
            <w:tcMar>
              <w:top w:w="80" w:type="dxa"/>
              <w:start w:w="100" w:type="dxa"/>
              <w:bottom w:w="80" w:type="dxa"/>
              <w:end w:w="100" w:type="dxa"/>
            </w:tcMar>
          </w:tcPr>
          <w:p>
            <w:pPr>
              <w:spacing w:after="0"/>
              <w:jc w:val="center"/>
            </w:pPr>
            <w:r/>
            <w:r>
              <w:rPr>
                <w:rFonts w:ascii="DejaVu Sans" w:hAnsi="DejaVu Sans"/>
                <w:b/>
                <w:color w:val="FFFFFF"/>
                <w:sz w:val="20"/>
              </w:rPr>
              <w:t>Rôle</w:t>
            </w:r>
          </w:p>
        </w:tc>
        <w:tc>
          <w:tcPr>
            <w:tcW w:type="dxa" w:w="5726"/>
            <w:shd w:fill="AD0000"/>
            <w:vAlign w:val="center"/>
            <w:tcMar>
              <w:top w:w="80" w:type="dxa"/>
              <w:start w:w="100" w:type="dxa"/>
              <w:bottom w:w="80" w:type="dxa"/>
              <w:end w:w="100" w:type="dxa"/>
            </w:tcMar>
          </w:tcPr>
          <w:p>
            <w:pPr>
              <w:spacing w:after="0"/>
              <w:jc w:val="left"/>
            </w:pPr>
            <w:r/>
            <w:r>
              <w:rPr>
                <w:rFonts w:ascii="DejaVu Sans" w:hAnsi="DejaVu Sans"/>
                <w:b/>
                <w:color w:val="FFFFFF"/>
                <w:sz w:val="20"/>
              </w:rPr>
              <w:t>Ce que tu en tires</w:t>
            </w:r>
          </w:p>
        </w:tc>
      </w:tr>
      <w:tr>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DO188</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Fondations conteneurs</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Podman, images custom, registres, debug de conteneurs, persistance, réseau de base, notions OpenShift</w:t>
            </w:r>
          </w:p>
        </w:tc>
      </w:tr>
      <w:tr>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DO288</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Transposition OpenShift développeur</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builds, déploiements, multi-conteneurs, Helm, Kustomize, probes, pipelines</w:t>
            </w:r>
          </w:p>
        </w:tc>
      </w:tr>
      <w:tr>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EX288</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Validation pratique</w:t>
            </w:r>
          </w:p>
        </w:tc>
        <w:tc>
          <w:tcPr>
            <w:tcW w:type="dxa" w:w="3362"/>
            <w:vAlign w:val="center"/>
            <w:tcMar>
              <w:top w:w="85" w:type="dxa"/>
              <w:start w:w="95" w:type="dxa"/>
              <w:bottom w:w="85" w:type="dxa"/>
              <w:end w:w="95" w:type="dxa"/>
            </w:tcMar>
          </w:tcPr>
          <w:p>
            <w:pPr>
              <w:spacing w:after="0" w:before="0" w:line="240" w:lineRule="auto"/>
              <w:jc w:val="left"/>
            </w:pPr>
            <w:r/>
            <w:r>
              <w:rPr>
                <w:rFonts w:ascii="DejaVu Sans" w:hAnsi="DejaVu Sans"/>
                <w:sz w:val="19"/>
              </w:rPr>
              <w:t>déployer, corriger, construire, paramétrer et vérifier dans un cluster OpenShift 4.18</w:t>
            </w:r>
          </w:p>
        </w:tc>
      </w:tr>
    </w:tbl>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0" w:color="D9D9D9"/>
          <w:insideV w:val="single" w:sz="0" w:color="D9D9D9"/>
        </w:tblBorders>
      </w:tblPr>
      <w:tblGrid>
        <w:gridCol w:w="10086"/>
      </w:tblGrid>
      <w:tr>
        <w:tc>
          <w:tcPr>
            <w:tcW w:type="dxa" w:w="10086"/>
            <w:shd w:fill="F7F7F7"/>
            <w:tcMar>
              <w:top w:w="100" w:type="dxa"/>
              <w:start w:w="140" w:type="dxa"/>
              <w:bottom w:w="100" w:type="dxa"/>
              <w:end w:w="140" w:type="dxa"/>
            </w:tcMar>
            <w:vAlign w:val="center"/>
          </w:tcPr>
          <w:p>
            <w:r>
              <w:rPr>
                <w:rFonts w:ascii="DejaVu Sans" w:hAnsi="DejaVu Sans"/>
                <w:b/>
                <w:color w:val="AD0000"/>
                <w:sz w:val="21"/>
              </w:rPr>
              <w:t>Point de vigilance</w:t>
            </w:r>
          </w:p>
          <w:p>
            <w:pPr>
              <w:spacing w:before="40" w:after="0"/>
            </w:pPr>
            <w:r>
              <w:rPr>
                <w:rFonts w:ascii="DejaVu Sans" w:hAnsi="DejaVu Sans"/>
                <w:sz w:val="20"/>
              </w:rPr>
              <w:t>Ne pas bâtir la préparation sur EX188 : l'ancrage officiel actuel pour ce parcours passe par DO188 et DO288 avant EX288.</w:t>
            </w:r>
          </w:p>
        </w:tc>
      </w:tr>
    </w:tbl>
    <w:p/>
    <w:p>
      <w:r>
        <w:br w:type="page"/>
      </w:r>
    </w:p>
    <w:p>
      <w:pPr>
        <w:pStyle w:val="Heading1"/>
        <w:spacing w:before="0" w:after="120" w:line="240" w:lineRule="auto"/>
      </w:pPr>
      <w:r>
        <w:t>6. Banque de labs à maîtriser</w:t>
      </w:r>
    </w:p>
    <w:p>
      <w:pPr>
        <w:spacing w:before="0" w:after="120" w:line="240" w:lineRule="auto"/>
      </w:pPr>
      <w:r>
        <w:t>Les labs ci-dessous doivent être refaits jusqu'à pouvoir les exécuter vite et proprement sans hésitation.</w:t>
      </w:r>
    </w:p>
    <w:p>
      <w:pPr>
        <w:pStyle w:val="ListBullet"/>
        <w:spacing w:after="30" w:before="0" w:line="252" w:lineRule="auto"/>
      </w:pPr>
      <w:r>
        <w:rPr>
          <w:rFonts w:ascii="DejaVu Sans" w:hAnsi="DejaVu Sans"/>
          <w:sz w:val="20"/>
        </w:rPr>
        <w:t>Créer deux projets, déployer une application simple puis l'exposer via Service et Route.</w:t>
      </w:r>
    </w:p>
    <w:p>
      <w:pPr>
        <w:pStyle w:val="ListBullet"/>
        <w:spacing w:after="30" w:before="0" w:line="252" w:lineRule="auto"/>
      </w:pPr>
      <w:r>
        <w:rPr>
          <w:rFonts w:ascii="DejaVu Sans" w:hAnsi="DejaVu Sans"/>
          <w:sz w:val="20"/>
        </w:rPr>
        <w:t>Ajouter readiness, liveness et startup probes ; provoquer une erreur puis la corriger.</w:t>
      </w:r>
    </w:p>
    <w:p>
      <w:pPr>
        <w:pStyle w:val="ListBullet"/>
        <w:spacing w:after="30" w:before="0" w:line="252" w:lineRule="auto"/>
      </w:pPr>
      <w:r>
        <w:rPr>
          <w:rFonts w:ascii="DejaVu Sans" w:hAnsi="DejaVu Sans"/>
          <w:sz w:val="20"/>
        </w:rPr>
        <w:t>Créer ConfigMap et Secret, injecter les valeurs par variables d'environnement et volumes, valider dans le pod.</w:t>
      </w:r>
    </w:p>
    <w:p>
      <w:pPr>
        <w:pStyle w:val="ListBullet"/>
        <w:spacing w:after="30" w:before="0" w:line="252" w:lineRule="auto"/>
      </w:pPr>
      <w:r>
        <w:rPr>
          <w:rFonts w:ascii="DejaVu Sans" w:hAnsi="DejaVu Sans"/>
          <w:sz w:val="20"/>
        </w:rPr>
        <w:t>Construire une image via BuildConfig depuis Git, pousser dans la registry interne, vérifier le tag et l'ImageStream.</w:t>
      </w:r>
    </w:p>
    <w:p>
      <w:pPr>
        <w:pStyle w:val="ListBullet"/>
        <w:spacing w:after="30" w:before="0" w:line="252" w:lineRule="auto"/>
      </w:pPr>
      <w:r>
        <w:rPr>
          <w:rFonts w:ascii="DejaVu Sans" w:hAnsi="DejaVu Sans"/>
          <w:sz w:val="20"/>
        </w:rPr>
        <w:t>Créer un ImageStream custom, gérer les tags, brancher un déploiement sur cet ImageStream, valider le trigger.</w:t>
      </w:r>
    </w:p>
    <w:p>
      <w:pPr>
        <w:pStyle w:val="ListBullet"/>
        <w:spacing w:after="30" w:before="0" w:line="252" w:lineRule="auto"/>
      </w:pPr>
      <w:r>
        <w:rPr>
          <w:rFonts w:ascii="DejaVu Sans" w:hAnsi="DejaVu Sans"/>
          <w:sz w:val="20"/>
        </w:rPr>
        <w:t>Utiliser S2I sur une application fournie, puis customiser un builder existant avec scripts assemble/run.</w:t>
      </w:r>
    </w:p>
    <w:p>
      <w:pPr>
        <w:pStyle w:val="ListBullet"/>
        <w:spacing w:after="30" w:before="0" w:line="252" w:lineRule="auto"/>
      </w:pPr>
      <w:r>
        <w:rPr>
          <w:rFonts w:ascii="DejaVu Sans" w:hAnsi="DejaVu Sans"/>
          <w:sz w:val="20"/>
        </w:rPr>
        <w:t>Créer un hook fourni par script et confirmer son exécution correcte.</w:t>
      </w:r>
    </w:p>
    <w:p>
      <w:pPr>
        <w:pStyle w:val="ListBullet"/>
        <w:spacing w:after="30" w:before="0" w:line="252" w:lineRule="auto"/>
      </w:pPr>
      <w:r>
        <w:rPr>
          <w:rFonts w:ascii="DejaVu Sans" w:hAnsi="DejaVu Sans"/>
          <w:sz w:val="20"/>
        </w:rPr>
        <w:t>Déployer une application multi-conteneurs via template OpenShift paramétré.</w:t>
      </w:r>
    </w:p>
    <w:p>
      <w:pPr>
        <w:pStyle w:val="ListBullet"/>
        <w:spacing w:after="30" w:before="0" w:line="252" w:lineRule="auto"/>
      </w:pPr>
      <w:r>
        <w:rPr>
          <w:rFonts w:ascii="DejaVu Sans" w:hAnsi="DejaVu Sans"/>
          <w:sz w:val="20"/>
        </w:rPr>
        <w:t>Créer puis utiliser un chart Helm simple ; ensuite surcharger le déploiement avec Kustomize.</w:t>
      </w:r>
    </w:p>
    <w:p>
      <w:pPr>
        <w:pStyle w:val="ListBullet"/>
        <w:spacing w:after="30" w:before="0" w:line="252" w:lineRule="auto"/>
      </w:pPr>
      <w:r>
        <w:rPr>
          <w:rFonts w:ascii="DejaVu Sans" w:hAnsi="DejaVu Sans"/>
          <w:sz w:val="20"/>
        </w:rPr>
        <w:t>Prendre un pipeline Tekton déjà présent, identifier la task qui échoue, corriger la ressource ou le paramètre, relancer et vérifier.</w:t>
      </w:r>
    </w:p>
    <w:p>
      <w:pPr>
        <w:pStyle w:val="ListBullet"/>
        <w:spacing w:after="30" w:before="0" w:line="252" w:lineRule="auto"/>
      </w:pPr>
      <w:r>
        <w:rPr>
          <w:rFonts w:ascii="DejaVu Sans" w:hAnsi="DejaVu Sans"/>
          <w:sz w:val="20"/>
        </w:rPr>
        <w:t>Créer une application à partir d'un Operator déjà installé dans le namespace utilisateur.</w:t>
      </w:r>
    </w:p>
    <w:p>
      <w:pPr>
        <w:pStyle w:val="ListBullet"/>
        <w:spacing w:after="30" w:before="0" w:line="252" w:lineRule="auto"/>
      </w:pPr>
      <w:r>
        <w:rPr>
          <w:rFonts w:ascii="DejaVu Sans" w:hAnsi="DejaVu Sans"/>
          <w:sz w:val="20"/>
        </w:rPr>
        <w:t>Déboguer un build ou un rollout uniquement avec oc get, oc describe, logs, events et inspection des objets associés.</w:t>
      </w:r>
    </w:p>
    <w:p>
      <w:pPr>
        <w:pStyle w:val="Heading1"/>
        <w:spacing w:before="0" w:after="120" w:line="240" w:lineRule="auto"/>
      </w:pPr>
      <w:r>
        <w:t>7. Sets d'entraînement chronométrés</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928"/>
            <w:shd w:fill="AD0000"/>
            <w:vAlign w:val="center"/>
            <w:tcMar>
              <w:top w:w="80" w:type="dxa"/>
              <w:start w:w="100" w:type="dxa"/>
              <w:bottom w:w="80" w:type="dxa"/>
              <w:end w:w="100" w:type="dxa"/>
            </w:tcMar>
          </w:tcPr>
          <w:p>
            <w:pPr>
              <w:spacing w:after="0"/>
              <w:jc w:val="center"/>
            </w:pPr>
            <w:r/>
            <w:r>
              <w:rPr>
                <w:rFonts w:ascii="DejaVu Sans" w:hAnsi="DejaVu Sans"/>
                <w:b/>
                <w:color w:val="FFFFFF"/>
                <w:sz w:val="20"/>
              </w:rPr>
              <w:t>Set</w:t>
            </w:r>
          </w:p>
        </w:tc>
        <w:tc>
          <w:tcPr>
            <w:tcW w:type="dxa" w:w="7200"/>
            <w:shd w:fill="AD0000"/>
            <w:vAlign w:val="center"/>
            <w:tcMar>
              <w:top w:w="80" w:type="dxa"/>
              <w:start w:w="100" w:type="dxa"/>
              <w:bottom w:w="80" w:type="dxa"/>
              <w:end w:w="100" w:type="dxa"/>
            </w:tcMar>
          </w:tcPr>
          <w:p>
            <w:pPr>
              <w:spacing w:after="0"/>
              <w:jc w:val="center"/>
            </w:pPr>
            <w:r/>
            <w:r>
              <w:rPr>
                <w:rFonts w:ascii="DejaVu Sans" w:hAnsi="DejaVu Sans"/>
                <w:b/>
                <w:color w:val="FFFFFF"/>
                <w:sz w:val="20"/>
              </w:rPr>
              <w:t>Contenu</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Set A - 45 min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projets, service, route, probes, ConfigMap, Secret</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Set B - 45 min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BuildConfig, registry interne, ImageStream, trigger</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Set C - 45 min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S2I, builder custom, hook de build, validation</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Set D - 45 min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template multi-conteneurs, Helm, Kustomize</w:t>
            </w:r>
          </w:p>
        </w:tc>
      </w:tr>
      <w:tr>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Set E - 45 min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pipeline Tekton à corriger et exécuter, Operator côté utilisateur</w:t>
            </w:r>
          </w:p>
        </w:tc>
      </w:tr>
    </w:tbl>
    <w:p/>
    <w:p>
      <w:pPr>
        <w:spacing w:before="0" w:after="120" w:line="240" w:lineRule="auto"/>
      </w:pPr>
      <w:r>
        <w:t>Après chaque set, noter systématiquement : symptôme observé, commande de diagnostic décisive, cause réelle, correction minimale, et vérification finale. Cette boucle d'apprentissage est plus rentable qu'une simple relecture de notes.</w:t>
      </w:r>
    </w:p>
    <w:p>
      <w:r>
        <w:br w:type="page"/>
      </w:r>
    </w:p>
    <w:p>
      <w:pPr>
        <w:pStyle w:val="Heading1"/>
        <w:spacing w:before="0" w:after="120" w:line="240" w:lineRule="auto"/>
      </w:pPr>
      <w:r>
        <w:t>8. Pièges classiques à intégrer dans la stratégie</w:t>
      </w:r>
    </w:p>
    <w:p>
      <w:pPr>
        <w:pStyle w:val="ListBullet"/>
        <w:spacing w:after="30" w:before="0" w:line="252" w:lineRule="auto"/>
      </w:pPr>
      <w:r>
        <w:rPr>
          <w:rFonts w:ascii="DejaVu Sans" w:hAnsi="DejaVu Sans"/>
          <w:sz w:val="20"/>
        </w:rPr>
        <w:t>Mauvais namespace ou oubli de contexte avant d'appliquer une ressource.</w:t>
      </w:r>
    </w:p>
    <w:p>
      <w:pPr>
        <w:pStyle w:val="ListBullet"/>
        <w:spacing w:after="30" w:before="0" w:line="252" w:lineRule="auto"/>
      </w:pPr>
      <w:r>
        <w:rPr>
          <w:rFonts w:ascii="DejaVu Sans" w:hAnsi="DejaVu Sans"/>
          <w:sz w:val="20"/>
        </w:rPr>
        <w:t>Confusion entre Deployment Kubernetes et DeploymentConfig OpenShift quand l'énoncé ou les ressources existantes utilisent l'un ou l'autre.</w:t>
      </w:r>
    </w:p>
    <w:p>
      <w:pPr>
        <w:pStyle w:val="ListBullet"/>
        <w:spacing w:after="30" w:before="0" w:line="252" w:lineRule="auto"/>
      </w:pPr>
      <w:r>
        <w:rPr>
          <w:rFonts w:ascii="DejaVu Sans" w:hAnsi="DejaVu Sans"/>
          <w:sz w:val="20"/>
        </w:rPr>
        <w:t>Build qui réussit mais image non consommée parce que le tag ou l'ImageStream visé n'est pas celui attendu.</w:t>
      </w:r>
    </w:p>
    <w:p>
      <w:pPr>
        <w:pStyle w:val="ListBullet"/>
        <w:spacing w:after="30" w:before="0" w:line="252" w:lineRule="auto"/>
      </w:pPr>
      <w:r>
        <w:rPr>
          <w:rFonts w:ascii="DejaVu Sans" w:hAnsi="DejaVu Sans"/>
          <w:sz w:val="20"/>
        </w:rPr>
        <w:t>Registry interne non accessible comme prévu faute d'authentification correcte ou de mauvais nom d'image.</w:t>
      </w:r>
    </w:p>
    <w:p>
      <w:pPr>
        <w:pStyle w:val="ListBullet"/>
        <w:spacing w:after="30" w:before="0" w:line="252" w:lineRule="auto"/>
      </w:pPr>
      <w:r>
        <w:rPr>
          <w:rFonts w:ascii="DejaVu Sans" w:hAnsi="DejaVu Sans"/>
          <w:sz w:val="20"/>
        </w:rPr>
        <w:t>Template ou chart appliqué avec un paramètre erroné : la ressource se crée, mais pas avec la bonne valeur.</w:t>
      </w:r>
    </w:p>
    <w:p>
      <w:pPr>
        <w:pStyle w:val="ListBullet"/>
        <w:spacing w:after="30" w:before="0" w:line="252" w:lineRule="auto"/>
      </w:pPr>
      <w:r>
        <w:rPr>
          <w:rFonts w:ascii="DejaVu Sans" w:hAnsi="DejaVu Sans"/>
          <w:sz w:val="20"/>
        </w:rPr>
        <w:t>Pipeline Tekton qui échoue pour une raison périphérique : mauvaise Workspace, image, secret, serviceAccount ou paramètre.</w:t>
      </w:r>
    </w:p>
    <w:p>
      <w:pPr>
        <w:pStyle w:val="ListBullet"/>
        <w:spacing w:after="30" w:before="0" w:line="252" w:lineRule="auto"/>
      </w:pPr>
      <w:r>
        <w:rPr>
          <w:rFonts w:ascii="DejaVu Sans" w:hAnsi="DejaVu Sans"/>
          <w:sz w:val="20"/>
        </w:rPr>
        <w:t>S2I custom partiellement correct : build lancé, mais scripts custom non pris en compte.</w:t>
      </w:r>
    </w:p>
    <w:p>
      <w:pPr>
        <w:pStyle w:val="ListBullet"/>
        <w:spacing w:after="30" w:before="0" w:line="252" w:lineRule="auto"/>
      </w:pPr>
      <w:r>
        <w:rPr>
          <w:rFonts w:ascii="DejaVu Sans" w:hAnsi="DejaVu Sans"/>
          <w:sz w:val="20"/>
        </w:rPr>
        <w:t>Probes techniquement présentes mais pointant vers le mauvais port, chemin ou délai.</w:t>
      </w:r>
    </w:p>
    <w:p>
      <w:pPr>
        <w:pStyle w:val="Heading1"/>
        <w:spacing w:before="0" w:after="120" w:line="240" w:lineRule="auto"/>
      </w:pPr>
      <w:r>
        <w:t>9. Méthode d'examen réaliste</w:t>
      </w:r>
    </w:p>
    <w:p>
      <w:pPr>
        <w:pStyle w:val="ListNumber"/>
        <w:spacing w:after="40" w:before="0"/>
      </w:pPr>
      <w:r>
        <w:t>Lire tout le sujet pendant les 10 à 15 premières minutes pour repérer les tâches les plus rentables et les dépendances.</w:t>
      </w:r>
    </w:p>
    <w:p>
      <w:pPr>
        <w:pStyle w:val="ListNumber"/>
        <w:spacing w:after="40" w:before="0"/>
      </w:pPr>
      <w:r>
        <w:t>Commencer par les tâches à résultat rapide et à faible risque : projets, routes, services, config, probes, petits correctifs.</w:t>
      </w:r>
    </w:p>
    <w:p>
      <w:pPr>
        <w:pStyle w:val="ListNumber"/>
        <w:spacing w:after="40" w:before="0"/>
      </w:pPr>
      <w:r>
        <w:t>Traiter ensuite les tâches de build, S2I, ImageStreams et templates, qui rapportent souvent beaucoup mais demandent plus de vérifications.</w:t>
      </w:r>
    </w:p>
    <w:p>
      <w:pPr>
        <w:pStyle w:val="ListNumber"/>
        <w:spacing w:after="40" w:before="0"/>
      </w:pPr>
      <w:r>
        <w:t>Garder un bloc de temps réservé au dépannage final : état des pods, événements, logs, rollouts, pipelines.</w:t>
      </w:r>
    </w:p>
    <w:p>
      <w:pPr>
        <w:pStyle w:val="ListNumber"/>
        <w:spacing w:after="40" w:before="0"/>
      </w:pPr>
      <w:r>
        <w:t>Valider chaque tâche avant de passer à la suivante : l'objet existe-t-il, l'application démarre-t-elle, l'exposition réseau répond-elle, le build a-t-il produit l'image attendue ?</w:t>
      </w:r>
    </w:p>
    <w:tbl>
      <w:tblPr>
        <w:tblW w:type="auto" w:w="0"/>
        <w:jc w:val="center"/>
        <w:tblLayout w:type="autofit"/>
        <w:tblLook w:firstColumn="1" w:firstRow="1" w:lastColumn="0" w:lastRow="0" w:noHBand="0" w:noVBand="1" w:val="04A0"/>
        <w:tblBorders>
          <w:top w:val="single" w:sz="6" w:color="D9D9D9"/>
          <w:left w:val="single" w:sz="6" w:color="D9D9D9"/>
          <w:bottom w:val="single" w:sz="6" w:color="D9D9D9"/>
          <w:right w:val="single" w:sz="6" w:color="D9D9D9"/>
          <w:insideH w:val="single" w:sz="0" w:color="D9D9D9"/>
          <w:insideV w:val="single" w:sz="0" w:color="D9D9D9"/>
        </w:tblBorders>
      </w:tblPr>
      <w:tblGrid>
        <w:gridCol w:w="10086"/>
      </w:tblGrid>
      <w:tr>
        <w:tc>
          <w:tcPr>
            <w:tcW w:type="dxa" w:w="10086"/>
            <w:shd w:fill="F7F7F7"/>
            <w:tcMar>
              <w:top w:w="100" w:type="dxa"/>
              <w:start w:w="140" w:type="dxa"/>
              <w:bottom w:w="100" w:type="dxa"/>
              <w:end w:w="140" w:type="dxa"/>
            </w:tcMar>
            <w:vAlign w:val="center"/>
          </w:tcPr>
          <w:p>
            <w:r>
              <w:rPr>
                <w:rFonts w:ascii="DejaVu Sans" w:hAnsi="DejaVu Sans"/>
                <w:b/>
                <w:color w:val="AD0000"/>
                <w:sz w:val="21"/>
              </w:rPr>
              <w:t>Règle d'or</w:t>
            </w:r>
          </w:p>
          <w:p>
            <w:pPr>
              <w:spacing w:before="40" w:after="0"/>
            </w:pPr>
            <w:r>
              <w:rPr>
                <w:rFonts w:ascii="DejaVu Sans" w:hAnsi="DejaVu Sans"/>
                <w:sz w:val="20"/>
              </w:rPr>
              <w:t>Ne jamais quitter une tâche sur un simple sentiment de réussite. Valider l'état réel de l'objet, du pod, du build ou du pipeline.</w:t>
            </w:r>
          </w:p>
        </w:tc>
      </w:tr>
    </w:tbl>
    <w:p/>
    <w:p>
      <w:pPr>
        <w:pStyle w:val="Heading1"/>
        <w:spacing w:before="0" w:after="120" w:line="240" w:lineRule="auto"/>
      </w:pPr>
      <w:r>
        <w:t>10. Grille d'auto-évaluation avant inscription</w:t>
      </w:r>
    </w:p>
    <w:tbl>
      <w:tblPr>
        <w:tblStyle w:val="TableGrid"/>
        <w:tblW w:type="auto" w:w="0"/>
        <w:jc w:val="center"/>
        <w:tblLook w:firstColumn="1" w:firstRow="1" w:lastColumn="0" w:lastRow="0" w:noHBand="0" w:noVBand="1" w:val="04A0"/>
      </w:tblPr>
      <w:tblGrid>
        <w:gridCol w:w="5043"/>
        <w:gridCol w:w="5043"/>
      </w:tblGrid>
      <w:tr>
        <w:trPr>
          <w:tblHeader w:val="true"/>
        </w:trPr>
        <w:tc>
          <w:tcPr>
            <w:tcW w:type="dxa" w:w="1474"/>
            <w:shd w:fill="AD0000"/>
            <w:vAlign w:val="center"/>
            <w:tcMar>
              <w:top w:w="80" w:type="dxa"/>
              <w:start w:w="100" w:type="dxa"/>
              <w:bottom w:w="80" w:type="dxa"/>
              <w:end w:w="100" w:type="dxa"/>
            </w:tcMar>
          </w:tcPr>
          <w:p>
            <w:pPr>
              <w:spacing w:after="0"/>
              <w:jc w:val="center"/>
            </w:pPr>
            <w:r/>
            <w:r>
              <w:rPr>
                <w:rFonts w:ascii="DejaVu Sans" w:hAnsi="DejaVu Sans"/>
                <w:b/>
                <w:color w:val="FFFFFF"/>
                <w:sz w:val="20"/>
              </w:rPr>
              <w:t>Statut</w:t>
            </w:r>
          </w:p>
        </w:tc>
        <w:tc>
          <w:tcPr>
            <w:tcW w:type="dxa" w:w="7654"/>
            <w:shd w:fill="AD0000"/>
            <w:vAlign w:val="center"/>
            <w:tcMar>
              <w:top w:w="80" w:type="dxa"/>
              <w:start w:w="100" w:type="dxa"/>
              <w:bottom w:w="80" w:type="dxa"/>
              <w:end w:w="100" w:type="dxa"/>
            </w:tcMar>
          </w:tcPr>
          <w:p>
            <w:pPr>
              <w:spacing w:after="0"/>
              <w:jc w:val="center"/>
            </w:pPr>
            <w:r/>
            <w:r>
              <w:rPr>
                <w:rFonts w:ascii="DejaVu Sans" w:hAnsi="DejaVu Sans"/>
                <w:b/>
                <w:color w:val="FFFFFF"/>
                <w:sz w:val="20"/>
              </w:rPr>
              <w:t>Question</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peux créer rapidement projets, services, routes, ConfigMaps, Secrets et probes sans support externe.</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lire et corriger un build OpenShift, relier l'image produite à un ImageStream, puis la consommer dans un déploiement.</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utiliser S2I et customiser un builder S2I existant.</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créer ou corriger un template OpenShift multi-conteneurs paramétré.</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déployer avec Helm puis adapter le rendu avec Kustomize.</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corriger un pipeline Tekton simple ou semi-fourni.</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sais diagnostiquer un échec par oc describe, logs, events et inspection des ressources liées.</w:t>
            </w:r>
          </w:p>
        </w:tc>
      </w:tr>
      <w:tr>
        <w:tc>
          <w:tcPr>
            <w:tcW w:type="dxa" w:w="5043"/>
            <w:vAlign w:val="center"/>
            <w:tcMar>
              <w:top w:w="85" w:type="dxa"/>
              <w:start w:w="95" w:type="dxa"/>
              <w:bottom w:w="85" w:type="dxa"/>
              <w:end w:w="95" w:type="dxa"/>
            </w:tcMar>
          </w:tcPr>
          <w:p>
            <w:pPr>
              <w:spacing w:after="0" w:before="0" w:line="240" w:lineRule="auto"/>
              <w:jc w:val="center"/>
            </w:pPr>
            <w:r/>
            <w:r>
              <w:rPr>
                <w:rFonts w:ascii="DejaVu Sans" w:hAnsi="DejaVu Sans"/>
                <w:sz w:val="19"/>
              </w:rPr>
              <w:t>Oui/Non</w:t>
            </w:r>
          </w:p>
        </w:tc>
        <w:tc>
          <w:tcPr>
            <w:tcW w:type="dxa" w:w="5043"/>
            <w:vAlign w:val="center"/>
            <w:tcMar>
              <w:top w:w="85" w:type="dxa"/>
              <w:start w:w="95" w:type="dxa"/>
              <w:bottom w:w="85" w:type="dxa"/>
              <w:end w:w="95" w:type="dxa"/>
            </w:tcMar>
          </w:tcPr>
          <w:p>
            <w:pPr>
              <w:spacing w:after="0" w:before="0" w:line="240" w:lineRule="auto"/>
              <w:jc w:val="left"/>
            </w:pPr>
            <w:r/>
            <w:r>
              <w:rPr>
                <w:rFonts w:ascii="DejaVu Sans" w:hAnsi="DejaVu Sans"/>
                <w:sz w:val="19"/>
              </w:rPr>
              <w:t>Je peux enchaîner 3 heures de pratique sans perdre du temps sur la navigation de base dans OpenShift.</w:t>
            </w:r>
          </w:p>
        </w:tc>
      </w:tr>
    </w:tbl>
    <w:p/>
    <w:p>
      <w:pPr>
        <w:pStyle w:val="Heading1"/>
        <w:spacing w:before="0" w:after="120" w:line="240" w:lineRule="auto"/>
      </w:pPr>
      <w:r>
        <w:t>11. Ce que je corrigerais encore si je poussais en V3</w:t>
      </w:r>
    </w:p>
    <w:p>
      <w:pPr>
        <w:pStyle w:val="ListBullet"/>
        <w:spacing w:after="30" w:before="0" w:line="252" w:lineRule="auto"/>
      </w:pPr>
      <w:r>
        <w:rPr>
          <w:rFonts w:ascii="DejaVu Sans" w:hAnsi="DejaVu Sans"/>
          <w:sz w:val="20"/>
        </w:rPr>
        <w:t>Ajouter un cahier de labs 100 % orienté terminal avec commandes-types et commandes de vérification.</w:t>
      </w:r>
    </w:p>
    <w:p>
      <w:pPr>
        <w:pStyle w:val="ListBullet"/>
        <w:spacing w:after="30" w:before="0" w:line="252" w:lineRule="auto"/>
      </w:pPr>
      <w:r>
        <w:rPr>
          <w:rFonts w:ascii="DejaVu Sans" w:hAnsi="DejaVu Sans"/>
          <w:sz w:val="20"/>
        </w:rPr>
        <w:t>Créer un mini-examen blanc de 3 heures en français avec énoncés et corrigé séparé.</w:t>
      </w:r>
    </w:p>
    <w:p>
      <w:pPr>
        <w:pStyle w:val="ListBullet"/>
        <w:spacing w:after="30" w:before="0" w:line="252" w:lineRule="auto"/>
      </w:pPr>
      <w:r>
        <w:rPr>
          <w:rFonts w:ascii="DejaVu Sans" w:hAnsi="DejaVu Sans"/>
          <w:sz w:val="20"/>
        </w:rPr>
        <w:t>Ajouter des scénarios de troubleshooting gradués : build cassé, tag faux, Route mal câblée, Tekton Workspace absent, secret invalide.</w:t>
      </w:r>
    </w:p>
    <w:p>
      <w:pPr>
        <w:pStyle w:val="ListBullet"/>
        <w:spacing w:after="30" w:before="0" w:line="252" w:lineRule="auto"/>
      </w:pPr>
      <w:r>
        <w:rPr>
          <w:rFonts w:ascii="DejaVu Sans" w:hAnsi="DejaVu Sans"/>
          <w:sz w:val="20"/>
        </w:rPr>
        <w:t>Préparer une fiche ultra-courte « jour d'examen » sur une seule page.</w:t>
      </w:r>
    </w:p>
    <w:p>
      <w:pPr>
        <w:pStyle w:val="Heading1"/>
        <w:spacing w:before="0" w:after="120" w:line="240" w:lineRule="auto"/>
      </w:pPr>
      <w:r>
        <w:t>Annexe - Sources officielles utilisées</w:t>
      </w:r>
    </w:p>
    <w:p>
      <w:pPr>
        <w:pStyle w:val="ListBullet"/>
        <w:spacing w:after="30" w:before="0" w:line="252" w:lineRule="auto"/>
      </w:pPr>
      <w:r>
        <w:rPr>
          <w:rFonts w:ascii="DejaVu Sans" w:hAnsi="DejaVu Sans"/>
          <w:sz w:val="20"/>
        </w:rPr>
        <w:t>Red Hat Certified OpenShift Application Developer exam (EX288) - page officielle de l'examen</w:t>
      </w:r>
    </w:p>
    <w:p>
      <w:pPr>
        <w:pStyle w:val="ListBullet"/>
        <w:spacing w:after="30" w:before="0" w:line="252" w:lineRule="auto"/>
      </w:pPr>
      <w:r>
        <w:rPr>
          <w:rFonts w:ascii="DejaVu Sans" w:hAnsi="DejaVu Sans"/>
          <w:sz w:val="20"/>
        </w:rPr>
        <w:t>Red Hat OpenShift Developer II: Building and Deploying Cloud-native Applications (DO288) - page officielle du cours</w:t>
      </w:r>
    </w:p>
    <w:p>
      <w:pPr>
        <w:pStyle w:val="ListBullet"/>
        <w:spacing w:after="30" w:before="0" w:line="252" w:lineRule="auto"/>
      </w:pPr>
      <w:r>
        <w:rPr>
          <w:rFonts w:ascii="DejaVu Sans" w:hAnsi="DejaVu Sans"/>
          <w:sz w:val="20"/>
        </w:rPr>
        <w:t>Red Hat OpenShift Development I: Introduction to Containers with Podman (DO188) - page officielle du cours</w:t>
      </w:r>
    </w:p>
    <w:p>
      <w:pPr>
        <w:spacing w:before="0" w:after="0" w:line="240" w:lineRule="auto"/>
      </w:pPr>
      <w:r>
        <w:t>Ce document ne reprend pas de barème de réussite non publié sur la page officielle EX288. Il reste volontairement prudent sur tout chiffre non confirmé par Red Hat.</w:t>
      </w:r>
    </w:p>
    <w:sectPr w:rsidR="00FC693F" w:rsidRPr="0006063C" w:rsidSect="00034616">
      <w:footerReference w:type="default" r:id="rId9"/>
      <w:pgSz w:w="12240" w:h="15840"/>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6E6E6E"/>
        <w:sz w:val="18"/>
      </w:rPr>
      <w:t xml:space="preserve">EX288 - Guide de préparation V2 -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eastAsia="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DejaVu Sans"/>
      <w:b/>
      <w:bCs/>
      <w:color w:val="AD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DejaVu Sans"/>
      <w:b/>
      <w:bCs/>
      <w:color w:val="3C3C3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eastAsia="DejaVu Sans"/>
      <w:b/>
      <w:bCs/>
      <w:color w:val="5A5A5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DejaVu Sans"/>
      <w:b/>
      <w:color w:val="AD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b w:val="0"/>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