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40"/>
      </w:pPr>
      <w:r>
        <w:rPr>
          <w:rFonts w:ascii="Segoe UI" w:hAnsi="Segoe UI" w:eastAsia="微软雅黑"/>
          <w:b/>
          <w:color w:val="C0621B"/>
          <w:sz w:val="19"/>
        </w:rPr>
        <w:t>FEASIBILITY  STUDY   ·   PRODUCT  DEVELOPMENT</w:t>
      </w:r>
    </w:p>
    <w:p>
      <w:pPr>
        <w:spacing w:after="40"/>
      </w:pPr>
      <w:r>
        <w:rPr>
          <w:rFonts w:ascii="Segoe UI" w:hAnsi="Segoe UI" w:eastAsia="微软雅黑"/>
          <w:b/>
          <w:color w:val="1F3B57"/>
          <w:sz w:val="68"/>
        </w:rPr>
        <w:t>中空纤维血透膜</w:t>
      </w:r>
    </w:p>
    <w:p>
      <w:pPr>
        <w:spacing w:after="280"/>
      </w:pPr>
      <w:r>
        <w:rPr>
          <w:rFonts w:ascii="Segoe UI" w:hAnsi="Segoe UI" w:eastAsia="微软雅黑"/>
          <w:b/>
          <w:color w:val="1F4E79"/>
          <w:sz w:val="40"/>
        </w:rPr>
        <w:t>产品开发可行性研究报告</w:t>
      </w:r>
    </w:p>
    <w:p>
      <w:pPr>
        <w:spacing w:after="80"/>
      </w:pPr>
      <w:r>
        <w:rPr>
          <w:rFonts w:ascii="Segoe UI" w:hAnsi="Segoe UI" w:eastAsia="微软雅黑"/>
          <w:b w:val="0"/>
          <w:color w:val="808080"/>
          <w:sz w:val="18"/>
        </w:rPr>
        <w:t>Hollow-Fiber Hemodialysis Membrane: Product Development Feasibility and Economics</w:t>
      </w:r>
    </w:p>
    <w:p>
      <w:pPr>
        <w:spacing w:before="200" w:after="440"/>
        <w:pBdr>
          <w:bottom w:val="single" w:sz="26" w:space="6" w:color="C0621B"/>
        </w:pBdr>
      </w:pPr>
    </w:p>
    <w:p>
      <w:pPr>
        <w:spacing w:after="60"/>
      </w:pPr>
      <w:r>
        <w:rPr>
          <w:rFonts w:ascii="Segoe UI" w:hAnsi="Segoe UI" w:eastAsia="微软雅黑"/>
          <w:b w:val="0"/>
          <w:color w:val="595959"/>
          <w:sz w:val="19"/>
        </w:rPr>
        <w:t>—  铸膜液配方  ·  纺丝工艺窗口  ·  关键设备选型</w:t>
      </w:r>
    </w:p>
    <w:p>
      <w:pPr>
        <w:spacing w:after="60"/>
      </w:pPr>
      <w:r>
        <w:rPr>
          <w:rFonts w:ascii="Segoe UI" w:hAnsi="Segoe UI" w:eastAsia="微软雅黑"/>
          <w:b w:val="0"/>
          <w:color w:val="595959"/>
          <w:sz w:val="19"/>
        </w:rPr>
        <w:t>—  小试—中试—量产三级验证  ·  质量控制与检测体系</w:t>
      </w:r>
    </w:p>
    <w:p>
      <w:pPr>
        <w:spacing w:after="60"/>
      </w:pPr>
      <w:r>
        <w:rPr>
          <w:rFonts w:ascii="Segoe UI" w:hAnsi="Segoe UI" w:eastAsia="微软雅黑"/>
          <w:b w:val="0"/>
          <w:color w:val="595959"/>
          <w:sz w:val="19"/>
        </w:rPr>
        <w:t>—  投资估算与三情景经济性评价</w:t>
      </w:r>
    </w:p>
    <w:p/>
    <w:p/>
    <w:p/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</w:tcPr>
          <w:p>
            <w:pPr>
              <w:spacing w:after="60"/>
            </w:pPr>
            <w:r>
              <w:rPr>
                <w:rFonts w:ascii="Segoe UI" w:hAnsi="Segoe UI" w:eastAsia="微软雅黑"/>
                <w:b/>
                <w:color w:val="808080"/>
                <w:sz w:val="18"/>
              </w:rPr>
              <w:t>文档编号</w:t>
            </w:r>
          </w:p>
        </w:tc>
        <w:tc>
          <w:tcPr>
            <w:tcW w:type="dxa" w:w="6350"/>
          </w:tcPr>
          <w:p>
            <w:pPr>
              <w:spacing w:after="60"/>
            </w:pPr>
            <w:r>
              <w:rPr>
                <w:rFonts w:ascii="Segoe UI" w:hAnsi="Segoe UI" w:eastAsia="微软雅黑"/>
                <w:b w:val="0"/>
                <w:color w:val="595959"/>
                <w:sz w:val="18"/>
              </w:rPr>
              <w:t>HF-HD-FS-2026-V1.0</w:t>
            </w:r>
          </w:p>
        </w:tc>
      </w:tr>
      <w:tr>
        <w:tc>
          <w:tcPr>
            <w:tcW w:type="dxa" w:w="1814"/>
          </w:tcPr>
          <w:p>
            <w:pPr>
              <w:spacing w:after="60"/>
            </w:pPr>
            <w:r>
              <w:rPr>
                <w:rFonts w:ascii="Segoe UI" w:hAnsi="Segoe UI" w:eastAsia="微软雅黑"/>
                <w:b/>
                <w:color w:val="808080"/>
                <w:sz w:val="18"/>
              </w:rPr>
              <w:t>版本</w:t>
            </w:r>
          </w:p>
        </w:tc>
        <w:tc>
          <w:tcPr>
            <w:tcW w:type="dxa" w:w="6350"/>
          </w:tcPr>
          <w:p>
            <w:pPr>
              <w:spacing w:after="60"/>
            </w:pPr>
            <w:r>
              <w:rPr>
                <w:rFonts w:ascii="Segoe UI" w:hAnsi="Segoe UI" w:eastAsia="微软雅黑"/>
                <w:b w:val="0"/>
                <w:color w:val="595959"/>
                <w:sz w:val="18"/>
              </w:rPr>
              <w:t>V1.0（首版）</w:t>
            </w:r>
          </w:p>
        </w:tc>
      </w:tr>
      <w:tr>
        <w:tc>
          <w:tcPr>
            <w:tcW w:type="dxa" w:w="1814"/>
          </w:tcPr>
          <w:p>
            <w:pPr>
              <w:spacing w:after="60"/>
            </w:pPr>
            <w:r>
              <w:rPr>
                <w:rFonts w:ascii="Segoe UI" w:hAnsi="Segoe UI" w:eastAsia="微软雅黑"/>
                <w:b/>
                <w:color w:val="808080"/>
                <w:sz w:val="18"/>
              </w:rPr>
              <w:t>编制</w:t>
            </w:r>
          </w:p>
        </w:tc>
        <w:tc>
          <w:tcPr>
            <w:tcW w:type="dxa" w:w="6350"/>
          </w:tcPr>
          <w:p>
            <w:pPr>
              <w:spacing w:after="60"/>
            </w:pPr>
            <w:r>
              <w:rPr>
                <w:rFonts w:ascii="Segoe UI" w:hAnsi="Segoe UI" w:eastAsia="微软雅黑"/>
                <w:b w:val="0"/>
                <w:color w:val="595959"/>
                <w:sz w:val="18"/>
              </w:rPr>
              <w:t>商汤小浣熊 · 产业研究</w:t>
            </w:r>
          </w:p>
        </w:tc>
      </w:tr>
      <w:tr>
        <w:tc>
          <w:tcPr>
            <w:tcW w:type="dxa" w:w="1814"/>
          </w:tcPr>
          <w:p>
            <w:pPr>
              <w:spacing w:after="60"/>
            </w:pPr>
            <w:r>
              <w:rPr>
                <w:rFonts w:ascii="Segoe UI" w:hAnsi="Segoe UI" w:eastAsia="微软雅黑"/>
                <w:b/>
                <w:color w:val="808080"/>
                <w:sz w:val="18"/>
              </w:rPr>
              <w:t>日期</w:t>
            </w:r>
          </w:p>
        </w:tc>
        <w:tc>
          <w:tcPr>
            <w:tcW w:type="dxa" w:w="6350"/>
          </w:tcPr>
          <w:p>
            <w:pPr>
              <w:spacing w:after="60"/>
            </w:pPr>
            <w:r>
              <w:rPr>
                <w:rFonts w:ascii="Segoe UI" w:hAnsi="Segoe UI" w:eastAsia="微软雅黑"/>
                <w:b w:val="0"/>
                <w:color w:val="595959"/>
                <w:sz w:val="18"/>
              </w:rPr>
              <w:t>2026 年 10 月 27 日</w:t>
            </w:r>
          </w:p>
        </w:tc>
      </w:tr>
      <w:tr>
        <w:tc>
          <w:tcPr>
            <w:tcW w:type="dxa" w:w="1814"/>
          </w:tcPr>
          <w:p>
            <w:pPr>
              <w:spacing w:after="60"/>
            </w:pPr>
            <w:r>
              <w:rPr>
                <w:rFonts w:ascii="Segoe UI" w:hAnsi="Segoe UI" w:eastAsia="微软雅黑"/>
                <w:b/>
                <w:color w:val="808080"/>
                <w:sz w:val="18"/>
              </w:rPr>
              <w:t>密级</w:t>
            </w:r>
          </w:p>
        </w:tc>
        <w:tc>
          <w:tcPr>
            <w:tcW w:type="dxa" w:w="6350"/>
          </w:tcPr>
          <w:p>
            <w:pPr>
              <w:spacing w:after="60"/>
            </w:pPr>
            <w:r>
              <w:rPr>
                <w:rFonts w:ascii="Segoe UI" w:hAnsi="Segoe UI" w:eastAsia="微软雅黑"/>
                <w:b w:val="0"/>
                <w:color w:val="595959"/>
                <w:sz w:val="18"/>
              </w:rPr>
              <w:t>内部决策资料</w:t>
            </w:r>
          </w:p>
        </w:tc>
      </w:tr>
      <w:tr>
        <w:tc>
          <w:tcPr>
            <w:tcW w:type="dxa" w:w="1814"/>
          </w:tcPr>
          <w:p>
            <w:pPr>
              <w:spacing w:after="60"/>
            </w:pPr>
            <w:r>
              <w:rPr>
                <w:rFonts w:ascii="Segoe UI" w:hAnsi="Segoe UI" w:eastAsia="微软雅黑"/>
                <w:b/>
                <w:color w:val="808080"/>
                <w:sz w:val="18"/>
              </w:rPr>
              <w:t>配套文件</w:t>
            </w:r>
          </w:p>
        </w:tc>
        <w:tc>
          <w:tcPr>
            <w:tcW w:type="dxa" w:w="6350"/>
          </w:tcPr>
          <w:p>
            <w:pPr>
              <w:spacing w:after="60"/>
            </w:pPr>
            <w:r>
              <w:rPr>
                <w:rFonts w:ascii="Segoe UI" w:hAnsi="Segoe UI" w:eastAsia="微软雅黑"/>
                <w:b w:val="0"/>
                <w:color w:val="595959"/>
                <w:sz w:val="18"/>
              </w:rPr>
              <w:t>《中空纤维血液透析膜产业综合调研报告 V1.0》</w:t>
            </w:r>
          </w:p>
        </w:tc>
      </w:tr>
      <w:tr>
        <w:tc>
          <w:tcPr>
            <w:tcW w:type="dxa" w:w="1814"/>
          </w:tcPr>
          <w:p>
            <w:pPr>
              <w:spacing w:after="60"/>
            </w:pPr>
            <w:r>
              <w:rPr>
                <w:rFonts w:ascii="Segoe UI" w:hAnsi="Segoe UI" w:eastAsia="微软雅黑"/>
                <w:b/>
                <w:color w:val="808080"/>
                <w:sz w:val="18"/>
              </w:rPr>
              <w:t>格式参照</w:t>
            </w:r>
          </w:p>
        </w:tc>
        <w:tc>
          <w:tcPr>
            <w:tcW w:type="dxa" w:w="6350"/>
          </w:tcPr>
          <w:p>
            <w:pPr>
              <w:spacing w:after="60"/>
            </w:pPr>
            <w:r>
              <w:rPr>
                <w:rFonts w:ascii="Segoe UI" w:hAnsi="Segoe UI" w:eastAsia="微软雅黑"/>
                <w:b w:val="0"/>
                <w:color w:val="595959"/>
                <w:sz w:val="18"/>
              </w:rPr>
              <w:t>《PTFE 平板膜生产线技术可行性及经济性分析报告 V1.1》</w:t>
            </w:r>
          </w:p>
        </w:tc>
      </w:tr>
    </w:tbl>
    <w:p/>
    <w:p>
      <w:r>
        <w:rPr>
          <w:rFonts w:ascii="Segoe UI" w:hAnsi="Segoe UI" w:eastAsia="微软雅黑"/>
          <w:b w:val="0"/>
          <w:color w:val="808080"/>
          <w:sz w:val="16"/>
        </w:rPr>
        <w:t>本报告的投资与成本数据为基于公开信息的量级估算，用于投资决策的方向判断，不构成工程报价或财务承诺。所有关键假设均在正文中明示，便于复核与压力测试。</w:t>
      </w:r>
    </w:p>
    <w:p>
      <w:r>
        <w:br w:type="page"/>
      </w:r>
    </w:p>
    <w:p>
      <w:pPr>
        <w:spacing w:before="120" w:after="280"/>
        <w:pBdr>
          <w:bottom w:val="single" w:sz="14" w:space="6" w:color="1F3B57"/>
        </w:pBdr>
      </w:pPr>
      <w:r>
        <w:rPr>
          <w:rFonts w:ascii="Segoe UI" w:hAnsi="Segoe UI" w:eastAsia="微软雅黑"/>
          <w:b/>
          <w:color w:val="1F3B57"/>
          <w:sz w:val="40"/>
        </w:rPr>
        <w:t>目  录</w:t>
      </w:r>
    </w:p>
    <w:p>
      <w:pPr>
        <w:spacing w:after="200"/>
      </w:pPr>
      <w:r>
        <w:rPr>
          <w:rFonts w:ascii="Segoe UI" w:hAnsi="Segoe UI" w:eastAsia="微软雅黑"/>
          <w:b/>
          <w:color w:val="C0621B"/>
          <w:sz w:val="17"/>
        </w:rPr>
        <w:t>CONTENTS</w:t>
      </w:r>
    </w:p>
    <w:p>
      <w:pPr>
        <w:tabs>
          <w:tab w:pos="8674" w:val="right" w:leader="dot"/>
        </w:tabs>
        <w:spacing w:after="80"/>
        <w:ind w:left="170"/>
      </w:pPr>
      <w:r>
        <w:rPr>
          <w:rFonts w:ascii="Segoe UI" w:hAnsi="Segoe UI" w:eastAsia="微软雅黑"/>
          <w:b/>
          <w:color w:val="1F3B57"/>
          <w:sz w:val="20"/>
        </w:rPr>
        <w:t>执行摘要</w:t>
      </w:r>
      <w:r>
        <w:rPr>
          <w:rFonts w:ascii="Segoe UI" w:hAnsi="Segoe UI" w:eastAsia="微软雅黑"/>
          <w:b/>
          <w:color w:val="808080"/>
          <w:sz w:val="18"/>
        </w:rPr>
        <w:tab/>
        <w:t>3</w:t>
      </w:r>
    </w:p>
    <w:p>
      <w:pPr>
        <w:tabs>
          <w:tab w:pos="8674" w:val="right" w:leader="dot"/>
        </w:tabs>
        <w:spacing w:after="80"/>
        <w:ind w:left="170"/>
      </w:pPr>
      <w:r>
        <w:rPr>
          <w:rFonts w:ascii="Segoe UI" w:hAnsi="Segoe UI" w:eastAsia="微软雅黑"/>
          <w:b/>
          <w:color w:val="1F3B57"/>
          <w:sz w:val="20"/>
        </w:rPr>
        <w:t>01   项目背景与建设必要性</w:t>
      </w:r>
      <w:r>
        <w:rPr>
          <w:rFonts w:ascii="Segoe UI" w:hAnsi="Segoe UI" w:eastAsia="微软雅黑"/>
          <w:b/>
          <w:color w:val="808080"/>
          <w:sz w:val="18"/>
        </w:rPr>
        <w:tab/>
        <w:t>4</w:t>
      </w:r>
    </w:p>
    <w:p>
      <w:pPr>
        <w:tabs>
          <w:tab w:pos="8674" w:val="right" w:leader="dot"/>
        </w:tabs>
        <w:spacing w:after="40"/>
        <w:ind w:left="539"/>
      </w:pPr>
      <w:r>
        <w:rPr>
          <w:rFonts w:ascii="Segoe UI" w:hAnsi="Segoe UI" w:eastAsia="微软雅黑"/>
          <w:b w:val="0"/>
          <w:color w:val="595959"/>
          <w:sz w:val="18"/>
        </w:rPr>
        <w:t>1.1   需求侧的确定性</w:t>
      </w:r>
      <w:r>
        <w:rPr>
          <w:rFonts w:ascii="Segoe UI" w:hAnsi="Segoe UI" w:eastAsia="微软雅黑"/>
          <w:b w:val="0"/>
          <w:color w:val="808080"/>
          <w:sz w:val="17"/>
        </w:rPr>
        <w:tab/>
        <w:t>4</w:t>
      </w:r>
    </w:p>
    <w:p>
      <w:pPr>
        <w:tabs>
          <w:tab w:pos="8674" w:val="right" w:leader="dot"/>
        </w:tabs>
        <w:spacing w:after="40"/>
        <w:ind w:left="539"/>
      </w:pPr>
      <w:r>
        <w:rPr>
          <w:rFonts w:ascii="Segoe UI" w:hAnsi="Segoe UI" w:eastAsia="微软雅黑"/>
          <w:b w:val="0"/>
          <w:color w:val="595959"/>
          <w:sz w:val="18"/>
        </w:rPr>
        <w:t>1.2   供给侧的缺口</w:t>
      </w:r>
      <w:r>
        <w:rPr>
          <w:rFonts w:ascii="Segoe UI" w:hAnsi="Segoe UI" w:eastAsia="微软雅黑"/>
          <w:b w:val="0"/>
          <w:color w:val="808080"/>
          <w:sz w:val="17"/>
        </w:rPr>
        <w:tab/>
        <w:t>5</w:t>
      </w:r>
    </w:p>
    <w:p>
      <w:pPr>
        <w:tabs>
          <w:tab w:pos="8674" w:val="right" w:leader="dot"/>
        </w:tabs>
        <w:spacing w:after="40"/>
        <w:ind w:left="539"/>
      </w:pPr>
      <w:r>
        <w:rPr>
          <w:rFonts w:ascii="Segoe UI" w:hAnsi="Segoe UI" w:eastAsia="微软雅黑"/>
          <w:b w:val="0"/>
          <w:color w:val="595959"/>
          <w:sz w:val="18"/>
        </w:rPr>
        <w:t>1.3   本项目的三个立足点</w:t>
      </w:r>
      <w:r>
        <w:rPr>
          <w:rFonts w:ascii="Segoe UI" w:hAnsi="Segoe UI" w:eastAsia="微软雅黑"/>
          <w:b w:val="0"/>
          <w:color w:val="808080"/>
          <w:sz w:val="17"/>
        </w:rPr>
        <w:tab/>
        <w:t>5</w:t>
      </w:r>
    </w:p>
    <w:p>
      <w:pPr>
        <w:tabs>
          <w:tab w:pos="8674" w:val="right" w:leader="dot"/>
        </w:tabs>
        <w:spacing w:after="80"/>
        <w:ind w:left="170"/>
      </w:pPr>
      <w:r>
        <w:rPr>
          <w:rFonts w:ascii="Segoe UI" w:hAnsi="Segoe UI" w:eastAsia="微软雅黑"/>
          <w:b/>
          <w:color w:val="1F3B57"/>
          <w:sz w:val="20"/>
        </w:rPr>
        <w:t>02   原料配方与铸膜液制备</w:t>
      </w:r>
      <w:r>
        <w:rPr>
          <w:rFonts w:ascii="Segoe UI" w:hAnsi="Segoe UI" w:eastAsia="微软雅黑"/>
          <w:b/>
          <w:color w:val="808080"/>
          <w:sz w:val="18"/>
        </w:rPr>
        <w:tab/>
        <w:t>7</w:t>
      </w:r>
    </w:p>
    <w:p>
      <w:pPr>
        <w:tabs>
          <w:tab w:pos="8674" w:val="right" w:leader="dot"/>
        </w:tabs>
        <w:spacing w:after="40"/>
        <w:ind w:left="539"/>
      </w:pPr>
      <w:r>
        <w:rPr>
          <w:rFonts w:ascii="Segoe UI" w:hAnsi="Segoe UI" w:eastAsia="微软雅黑"/>
          <w:b w:val="0"/>
          <w:color w:val="595959"/>
          <w:sz w:val="18"/>
        </w:rPr>
        <w:t>2.1   四元配方体系</w:t>
      </w:r>
      <w:r>
        <w:rPr>
          <w:rFonts w:ascii="Segoe UI" w:hAnsi="Segoe UI" w:eastAsia="微软雅黑"/>
          <w:b w:val="0"/>
          <w:color w:val="808080"/>
          <w:sz w:val="17"/>
        </w:rPr>
        <w:tab/>
        <w:t>7</w:t>
      </w:r>
    </w:p>
    <w:p>
      <w:pPr>
        <w:tabs>
          <w:tab w:pos="8674" w:val="right" w:leader="dot"/>
        </w:tabs>
        <w:spacing w:after="40"/>
        <w:ind w:left="539"/>
      </w:pPr>
      <w:r>
        <w:rPr>
          <w:rFonts w:ascii="Segoe UI" w:hAnsi="Segoe UI" w:eastAsia="微软雅黑"/>
          <w:b w:val="0"/>
          <w:color w:val="595959"/>
          <w:sz w:val="18"/>
        </w:rPr>
        <w:t>2.2   配比与固含量窗口</w:t>
      </w:r>
      <w:r>
        <w:rPr>
          <w:rFonts w:ascii="Segoe UI" w:hAnsi="Segoe UI" w:eastAsia="微软雅黑"/>
          <w:b w:val="0"/>
          <w:color w:val="808080"/>
          <w:sz w:val="17"/>
        </w:rPr>
        <w:tab/>
        <w:t>8</w:t>
      </w:r>
    </w:p>
    <w:p>
      <w:pPr>
        <w:tabs>
          <w:tab w:pos="8674" w:val="right" w:leader="dot"/>
        </w:tabs>
        <w:spacing w:after="40"/>
        <w:ind w:left="539"/>
      </w:pPr>
      <w:r>
        <w:rPr>
          <w:rFonts w:ascii="Segoe UI" w:hAnsi="Segoe UI" w:eastAsia="微软雅黑"/>
          <w:b w:val="0"/>
          <w:color w:val="595959"/>
          <w:sz w:val="18"/>
        </w:rPr>
        <w:t>2.3   溶解、脱泡与熟化</w:t>
      </w:r>
      <w:r>
        <w:rPr>
          <w:rFonts w:ascii="Segoe UI" w:hAnsi="Segoe UI" w:eastAsia="微软雅黑"/>
          <w:b w:val="0"/>
          <w:color w:val="808080"/>
          <w:sz w:val="17"/>
        </w:rPr>
        <w:tab/>
        <w:t>9</w:t>
      </w:r>
    </w:p>
    <w:p>
      <w:pPr>
        <w:tabs>
          <w:tab w:pos="8674" w:val="right" w:leader="dot"/>
        </w:tabs>
        <w:spacing w:after="80"/>
        <w:ind w:left="170"/>
      </w:pPr>
      <w:r>
        <w:rPr>
          <w:rFonts w:ascii="Segoe UI" w:hAnsi="Segoe UI" w:eastAsia="微软雅黑"/>
          <w:b/>
          <w:color w:val="1F3B57"/>
          <w:sz w:val="20"/>
        </w:rPr>
        <w:t>03   纺丝工艺参数窗口</w:t>
      </w:r>
      <w:r>
        <w:rPr>
          <w:rFonts w:ascii="Segoe UI" w:hAnsi="Segoe UI" w:eastAsia="微软雅黑"/>
          <w:b/>
          <w:color w:val="808080"/>
          <w:sz w:val="18"/>
        </w:rPr>
        <w:tab/>
        <w:t>10</w:t>
      </w:r>
    </w:p>
    <w:p>
      <w:pPr>
        <w:tabs>
          <w:tab w:pos="8674" w:val="right" w:leader="dot"/>
        </w:tabs>
        <w:spacing w:after="40"/>
        <w:ind w:left="539"/>
      </w:pPr>
      <w:r>
        <w:rPr>
          <w:rFonts w:ascii="Segoe UI" w:hAnsi="Segoe UI" w:eastAsia="微软雅黑"/>
          <w:b w:val="0"/>
          <w:color w:val="595959"/>
          <w:sz w:val="18"/>
        </w:rPr>
        <w:t>3.1   干湿法纺丝的工艺参数表</w:t>
      </w:r>
      <w:r>
        <w:rPr>
          <w:rFonts w:ascii="Segoe UI" w:hAnsi="Segoe UI" w:eastAsia="微软雅黑"/>
          <w:b w:val="0"/>
          <w:color w:val="808080"/>
          <w:sz w:val="17"/>
        </w:rPr>
        <w:tab/>
        <w:t>10</w:t>
      </w:r>
    </w:p>
    <w:p>
      <w:pPr>
        <w:tabs>
          <w:tab w:pos="8674" w:val="right" w:leader="dot"/>
        </w:tabs>
        <w:spacing w:after="40"/>
        <w:ind w:left="539"/>
      </w:pPr>
      <w:r>
        <w:rPr>
          <w:rFonts w:ascii="Segoe UI" w:hAnsi="Segoe UI" w:eastAsia="微软雅黑"/>
          <w:b w:val="0"/>
          <w:color w:val="595959"/>
          <w:sz w:val="18"/>
        </w:rPr>
        <w:t>3.2   相分离路径的选择逻辑</w:t>
      </w:r>
      <w:r>
        <w:rPr>
          <w:rFonts w:ascii="Segoe UI" w:hAnsi="Segoe UI" w:eastAsia="微软雅黑"/>
          <w:b w:val="0"/>
          <w:color w:val="808080"/>
          <w:sz w:val="17"/>
        </w:rPr>
        <w:tab/>
        <w:t>12</w:t>
      </w:r>
    </w:p>
    <w:p>
      <w:pPr>
        <w:tabs>
          <w:tab w:pos="8674" w:val="right" w:leader="dot"/>
        </w:tabs>
        <w:spacing w:after="40"/>
        <w:ind w:left="539"/>
      </w:pPr>
      <w:r>
        <w:rPr>
          <w:rFonts w:ascii="Segoe UI" w:hAnsi="Segoe UI" w:eastAsia="微软雅黑"/>
          <w:b w:val="0"/>
          <w:color w:val="595959"/>
          <w:sz w:val="18"/>
        </w:rPr>
        <w:t>3.3   后处理：水洗、干燥、卷绕</w:t>
      </w:r>
      <w:r>
        <w:rPr>
          <w:rFonts w:ascii="Segoe UI" w:hAnsi="Segoe UI" w:eastAsia="微软雅黑"/>
          <w:b w:val="0"/>
          <w:color w:val="808080"/>
          <w:sz w:val="17"/>
        </w:rPr>
        <w:tab/>
        <w:t>13</w:t>
      </w:r>
    </w:p>
    <w:p>
      <w:pPr>
        <w:tabs>
          <w:tab w:pos="8674" w:val="right" w:leader="dot"/>
        </w:tabs>
        <w:spacing w:after="80"/>
        <w:ind w:left="170"/>
      </w:pPr>
      <w:r>
        <w:rPr>
          <w:rFonts w:ascii="Segoe UI" w:hAnsi="Segoe UI" w:eastAsia="微软雅黑"/>
          <w:b/>
          <w:color w:val="1F3B57"/>
          <w:sz w:val="20"/>
        </w:rPr>
        <w:t>04   工艺验证路径：小试—中试—量产</w:t>
      </w:r>
      <w:r>
        <w:rPr>
          <w:rFonts w:ascii="Segoe UI" w:hAnsi="Segoe UI" w:eastAsia="微软雅黑"/>
          <w:b/>
          <w:color w:val="808080"/>
          <w:sz w:val="18"/>
        </w:rPr>
        <w:tab/>
        <w:t>14</w:t>
      </w:r>
    </w:p>
    <w:p>
      <w:pPr>
        <w:tabs>
          <w:tab w:pos="8674" w:val="right" w:leader="dot"/>
        </w:tabs>
        <w:spacing w:after="40"/>
        <w:ind w:left="539"/>
      </w:pPr>
      <w:r>
        <w:rPr>
          <w:rFonts w:ascii="Segoe UI" w:hAnsi="Segoe UI" w:eastAsia="微软雅黑"/>
          <w:b w:val="0"/>
          <w:color w:val="595959"/>
          <w:sz w:val="18"/>
        </w:rPr>
        <w:t>4.1   三阶段递进与里程碑</w:t>
      </w:r>
      <w:r>
        <w:rPr>
          <w:rFonts w:ascii="Segoe UI" w:hAnsi="Segoe UI" w:eastAsia="微软雅黑"/>
          <w:b w:val="0"/>
          <w:color w:val="808080"/>
          <w:sz w:val="17"/>
        </w:rPr>
        <w:tab/>
        <w:t>14</w:t>
      </w:r>
    </w:p>
    <w:p>
      <w:pPr>
        <w:tabs>
          <w:tab w:pos="8674" w:val="right" w:leader="dot"/>
        </w:tabs>
        <w:spacing w:after="40"/>
        <w:ind w:left="539"/>
      </w:pPr>
      <w:r>
        <w:rPr>
          <w:rFonts w:ascii="Segoe UI" w:hAnsi="Segoe UI" w:eastAsia="微软雅黑"/>
          <w:b w:val="0"/>
          <w:color w:val="595959"/>
          <w:sz w:val="18"/>
        </w:rPr>
        <w:t>4.2   转产标准与门禁</w:t>
      </w:r>
      <w:r>
        <w:rPr>
          <w:rFonts w:ascii="Segoe UI" w:hAnsi="Segoe UI" w:eastAsia="微软雅黑"/>
          <w:b w:val="0"/>
          <w:color w:val="808080"/>
          <w:sz w:val="17"/>
        </w:rPr>
        <w:tab/>
        <w:t>16</w:t>
      </w:r>
    </w:p>
    <w:p>
      <w:pPr>
        <w:tabs>
          <w:tab w:pos="8674" w:val="right" w:leader="dot"/>
        </w:tabs>
        <w:spacing w:after="80"/>
        <w:ind w:left="170"/>
      </w:pPr>
      <w:r>
        <w:rPr>
          <w:rFonts w:ascii="Segoe UI" w:hAnsi="Segoe UI" w:eastAsia="微软雅黑"/>
          <w:b/>
          <w:color w:val="1F3B57"/>
          <w:sz w:val="20"/>
        </w:rPr>
        <w:t>05   质量控制标准与检测方案</w:t>
      </w:r>
      <w:r>
        <w:rPr>
          <w:rFonts w:ascii="Segoe UI" w:hAnsi="Segoe UI" w:eastAsia="微软雅黑"/>
          <w:b/>
          <w:color w:val="808080"/>
          <w:sz w:val="18"/>
        </w:rPr>
        <w:tab/>
        <w:t>17</w:t>
      </w:r>
    </w:p>
    <w:p>
      <w:pPr>
        <w:tabs>
          <w:tab w:pos="8674" w:val="right" w:leader="dot"/>
        </w:tabs>
        <w:spacing w:after="40"/>
        <w:ind w:left="539"/>
      </w:pPr>
      <w:r>
        <w:rPr>
          <w:rFonts w:ascii="Segoe UI" w:hAnsi="Segoe UI" w:eastAsia="微软雅黑"/>
          <w:b w:val="0"/>
          <w:color w:val="595959"/>
          <w:sz w:val="18"/>
        </w:rPr>
        <w:t>5.1   三级质量防御体系</w:t>
      </w:r>
      <w:r>
        <w:rPr>
          <w:rFonts w:ascii="Segoe UI" w:hAnsi="Segoe UI" w:eastAsia="微软雅黑"/>
          <w:b w:val="0"/>
          <w:color w:val="808080"/>
          <w:sz w:val="17"/>
        </w:rPr>
        <w:tab/>
        <w:t>17</w:t>
      </w:r>
    </w:p>
    <w:p>
      <w:pPr>
        <w:tabs>
          <w:tab w:pos="8674" w:val="right" w:leader="dot"/>
        </w:tabs>
        <w:spacing w:after="40"/>
        <w:ind w:left="539"/>
      </w:pPr>
      <w:r>
        <w:rPr>
          <w:rFonts w:ascii="Segoe UI" w:hAnsi="Segoe UI" w:eastAsia="微软雅黑"/>
          <w:b w:val="0"/>
          <w:color w:val="595959"/>
          <w:sz w:val="18"/>
        </w:rPr>
        <w:t>5.2   原料、过程、成品检测</w:t>
      </w:r>
      <w:r>
        <w:rPr>
          <w:rFonts w:ascii="Segoe UI" w:hAnsi="Segoe UI" w:eastAsia="微软雅黑"/>
          <w:b w:val="0"/>
          <w:color w:val="808080"/>
          <w:sz w:val="17"/>
        </w:rPr>
        <w:tab/>
        <w:t>18</w:t>
      </w:r>
    </w:p>
    <w:p>
      <w:pPr>
        <w:tabs>
          <w:tab w:pos="8674" w:val="right" w:leader="dot"/>
        </w:tabs>
        <w:spacing w:after="40"/>
        <w:ind w:left="539"/>
      </w:pPr>
      <w:r>
        <w:rPr>
          <w:rFonts w:ascii="Segoe UI" w:hAnsi="Segoe UI" w:eastAsia="微软雅黑"/>
          <w:b w:val="0"/>
          <w:color w:val="595959"/>
          <w:sz w:val="18"/>
        </w:rPr>
        <w:t>5.3   失控预警与 CAPA</w:t>
      </w:r>
      <w:r>
        <w:rPr>
          <w:rFonts w:ascii="Segoe UI" w:hAnsi="Segoe UI" w:eastAsia="微软雅黑"/>
          <w:b w:val="0"/>
          <w:color w:val="808080"/>
          <w:sz w:val="17"/>
        </w:rPr>
        <w:tab/>
        <w:t>20</w:t>
      </w:r>
    </w:p>
    <w:p>
      <w:pPr>
        <w:tabs>
          <w:tab w:pos="8674" w:val="right" w:leader="dot"/>
        </w:tabs>
        <w:spacing w:after="80"/>
        <w:ind w:left="170"/>
      </w:pPr>
      <w:r>
        <w:rPr>
          <w:rFonts w:ascii="Segoe UI" w:hAnsi="Segoe UI" w:eastAsia="微软雅黑"/>
          <w:b/>
          <w:color w:val="1F3B57"/>
          <w:sz w:val="20"/>
        </w:rPr>
        <w:t>06   核心设备技术规格与选型</w:t>
      </w:r>
      <w:r>
        <w:rPr>
          <w:rFonts w:ascii="Segoe UI" w:hAnsi="Segoe UI" w:eastAsia="微软雅黑"/>
          <w:b/>
          <w:color w:val="808080"/>
          <w:sz w:val="18"/>
        </w:rPr>
        <w:tab/>
        <w:t>21</w:t>
      </w:r>
    </w:p>
    <w:p>
      <w:pPr>
        <w:tabs>
          <w:tab w:pos="8674" w:val="right" w:leader="dot"/>
        </w:tabs>
        <w:spacing w:after="40"/>
        <w:ind w:left="539"/>
      </w:pPr>
      <w:r>
        <w:rPr>
          <w:rFonts w:ascii="Segoe UI" w:hAnsi="Segoe UI" w:eastAsia="微软雅黑"/>
          <w:b w:val="0"/>
          <w:color w:val="595959"/>
          <w:sz w:val="18"/>
        </w:rPr>
        <w:t>6.1   纺丝线与喷丝头</w:t>
      </w:r>
      <w:r>
        <w:rPr>
          <w:rFonts w:ascii="Segoe UI" w:hAnsi="Segoe UI" w:eastAsia="微软雅黑"/>
          <w:b w:val="0"/>
          <w:color w:val="808080"/>
          <w:sz w:val="17"/>
        </w:rPr>
        <w:tab/>
        <w:t>21</w:t>
      </w:r>
    </w:p>
    <w:p>
      <w:pPr>
        <w:tabs>
          <w:tab w:pos="8674" w:val="right" w:leader="dot"/>
        </w:tabs>
        <w:spacing w:after="40"/>
        <w:ind w:left="539"/>
      </w:pPr>
      <w:r>
        <w:rPr>
          <w:rFonts w:ascii="Segoe UI" w:hAnsi="Segoe UI" w:eastAsia="微软雅黑"/>
          <w:b w:val="0"/>
          <w:color w:val="595959"/>
          <w:sz w:val="18"/>
        </w:rPr>
        <w:t>6.2   灌封、切端与灭菌设备</w:t>
      </w:r>
      <w:r>
        <w:rPr>
          <w:rFonts w:ascii="Segoe UI" w:hAnsi="Segoe UI" w:eastAsia="微软雅黑"/>
          <w:b w:val="0"/>
          <w:color w:val="808080"/>
          <w:sz w:val="17"/>
        </w:rPr>
        <w:tab/>
        <w:t>23</w:t>
      </w:r>
    </w:p>
    <w:p>
      <w:pPr>
        <w:tabs>
          <w:tab w:pos="8674" w:val="right" w:leader="dot"/>
        </w:tabs>
        <w:spacing w:after="40"/>
        <w:ind w:left="539"/>
      </w:pPr>
      <w:r>
        <w:rPr>
          <w:rFonts w:ascii="Segoe UI" w:hAnsi="Segoe UI" w:eastAsia="微软雅黑"/>
          <w:b w:val="0"/>
          <w:color w:val="595959"/>
          <w:sz w:val="18"/>
        </w:rPr>
        <w:t>6.3   供应商格局与选型策略</w:t>
      </w:r>
      <w:r>
        <w:rPr>
          <w:rFonts w:ascii="Segoe UI" w:hAnsi="Segoe UI" w:eastAsia="微软雅黑"/>
          <w:b w:val="0"/>
          <w:color w:val="808080"/>
          <w:sz w:val="17"/>
        </w:rPr>
        <w:tab/>
        <w:t>24</w:t>
      </w:r>
    </w:p>
    <w:p>
      <w:pPr>
        <w:tabs>
          <w:tab w:pos="8674" w:val="right" w:leader="dot"/>
        </w:tabs>
        <w:spacing w:after="80"/>
        <w:ind w:left="170"/>
      </w:pPr>
      <w:r>
        <w:rPr>
          <w:rFonts w:ascii="Segoe UI" w:hAnsi="Segoe UI" w:eastAsia="微软雅黑"/>
          <w:b/>
          <w:color w:val="1F3B57"/>
          <w:sz w:val="20"/>
        </w:rPr>
        <w:t>07   关键控制：四要素协同</w:t>
      </w:r>
      <w:r>
        <w:rPr>
          <w:rFonts w:ascii="Segoe UI" w:hAnsi="Segoe UI" w:eastAsia="微软雅黑"/>
          <w:b/>
          <w:color w:val="808080"/>
          <w:sz w:val="18"/>
        </w:rPr>
        <w:tab/>
        <w:t>26</w:t>
      </w:r>
    </w:p>
    <w:p>
      <w:pPr>
        <w:tabs>
          <w:tab w:pos="8674" w:val="right" w:leader="dot"/>
        </w:tabs>
        <w:spacing w:after="40"/>
        <w:ind w:left="539"/>
      </w:pPr>
      <w:r>
        <w:rPr>
          <w:rFonts w:ascii="Segoe UI" w:hAnsi="Segoe UI" w:eastAsia="微软雅黑"/>
          <w:b w:val="0"/>
          <w:color w:val="595959"/>
          <w:sz w:val="18"/>
        </w:rPr>
        <w:t>7.1   芯液与凝固浴的闭环控制</w:t>
      </w:r>
      <w:r>
        <w:rPr>
          <w:rFonts w:ascii="Segoe UI" w:hAnsi="Segoe UI" w:eastAsia="微软雅黑"/>
          <w:b w:val="0"/>
          <w:color w:val="808080"/>
          <w:sz w:val="17"/>
        </w:rPr>
        <w:tab/>
        <w:t>26</w:t>
      </w:r>
    </w:p>
    <w:p>
      <w:pPr>
        <w:tabs>
          <w:tab w:pos="8674" w:val="right" w:leader="dot"/>
        </w:tabs>
        <w:spacing w:after="40"/>
        <w:ind w:left="539"/>
      </w:pPr>
      <w:r>
        <w:rPr>
          <w:rFonts w:ascii="Segoe UI" w:hAnsi="Segoe UI" w:eastAsia="微软雅黑"/>
          <w:b w:val="0"/>
          <w:color w:val="595959"/>
          <w:sz w:val="18"/>
        </w:rPr>
        <w:t>7.2   空气隙与牵伸的同步控制</w:t>
      </w:r>
      <w:r>
        <w:rPr>
          <w:rFonts w:ascii="Segoe UI" w:hAnsi="Segoe UI" w:eastAsia="微软雅黑"/>
          <w:b w:val="0"/>
          <w:color w:val="808080"/>
          <w:sz w:val="17"/>
        </w:rPr>
        <w:tab/>
        <w:t>27</w:t>
      </w:r>
    </w:p>
    <w:p>
      <w:pPr>
        <w:tabs>
          <w:tab w:pos="8674" w:val="right" w:leader="dot"/>
        </w:tabs>
        <w:spacing w:after="80"/>
        <w:ind w:left="170"/>
      </w:pPr>
      <w:r>
        <w:rPr>
          <w:rFonts w:ascii="Segoe UI" w:hAnsi="Segoe UI" w:eastAsia="微软雅黑"/>
          <w:b/>
          <w:color w:val="1F3B57"/>
          <w:sz w:val="20"/>
        </w:rPr>
        <w:t>08   水洗与残留控制专项</w:t>
      </w:r>
      <w:r>
        <w:rPr>
          <w:rFonts w:ascii="Segoe UI" w:hAnsi="Segoe UI" w:eastAsia="微软雅黑"/>
          <w:b/>
          <w:color w:val="808080"/>
          <w:sz w:val="18"/>
        </w:rPr>
        <w:tab/>
        <w:t>29</w:t>
      </w:r>
    </w:p>
    <w:p>
      <w:pPr>
        <w:tabs>
          <w:tab w:pos="8674" w:val="right" w:leader="dot"/>
        </w:tabs>
        <w:spacing w:after="80"/>
        <w:ind w:left="170"/>
      </w:pPr>
      <w:r>
        <w:rPr>
          <w:rFonts w:ascii="Segoe UI" w:hAnsi="Segoe UI" w:eastAsia="微软雅黑"/>
          <w:b/>
          <w:color w:val="1F3B57"/>
          <w:sz w:val="20"/>
        </w:rPr>
        <w:t>09   投资估算与经济性分析</w:t>
      </w:r>
      <w:r>
        <w:rPr>
          <w:rFonts w:ascii="Segoe UI" w:hAnsi="Segoe UI" w:eastAsia="微软雅黑"/>
          <w:b/>
          <w:color w:val="808080"/>
          <w:sz w:val="18"/>
        </w:rPr>
        <w:tab/>
        <w:t>31</w:t>
      </w:r>
    </w:p>
    <w:p>
      <w:pPr>
        <w:tabs>
          <w:tab w:pos="8674" w:val="right" w:leader="dot"/>
        </w:tabs>
        <w:spacing w:after="40"/>
        <w:ind w:left="539"/>
      </w:pPr>
      <w:r>
        <w:rPr>
          <w:rFonts w:ascii="Segoe UI" w:hAnsi="Segoe UI" w:eastAsia="微软雅黑"/>
          <w:b w:val="0"/>
          <w:color w:val="595959"/>
          <w:sz w:val="18"/>
        </w:rPr>
        <w:t>9.1   固定资产投资</w:t>
      </w:r>
      <w:r>
        <w:rPr>
          <w:rFonts w:ascii="Segoe UI" w:hAnsi="Segoe UI" w:eastAsia="微软雅黑"/>
          <w:b w:val="0"/>
          <w:color w:val="808080"/>
          <w:sz w:val="17"/>
        </w:rPr>
        <w:tab/>
        <w:t>31</w:t>
      </w:r>
    </w:p>
    <w:p>
      <w:pPr>
        <w:tabs>
          <w:tab w:pos="8674" w:val="right" w:leader="dot"/>
        </w:tabs>
        <w:spacing w:after="40"/>
        <w:ind w:left="539"/>
      </w:pPr>
      <w:r>
        <w:rPr>
          <w:rFonts w:ascii="Segoe UI" w:hAnsi="Segoe UI" w:eastAsia="微软雅黑"/>
          <w:b w:val="0"/>
          <w:color w:val="595959"/>
          <w:sz w:val="18"/>
        </w:rPr>
        <w:t>9.2   成本结构与运营费用</w:t>
      </w:r>
      <w:r>
        <w:rPr>
          <w:rFonts w:ascii="Segoe UI" w:hAnsi="Segoe UI" w:eastAsia="微软雅黑"/>
          <w:b w:val="0"/>
          <w:color w:val="808080"/>
          <w:sz w:val="17"/>
        </w:rPr>
        <w:tab/>
        <w:t>32</w:t>
      </w:r>
    </w:p>
    <w:p>
      <w:pPr>
        <w:tabs>
          <w:tab w:pos="8674" w:val="right" w:leader="dot"/>
        </w:tabs>
        <w:spacing w:after="40"/>
        <w:ind w:left="539"/>
      </w:pPr>
      <w:r>
        <w:rPr>
          <w:rFonts w:ascii="Segoe UI" w:hAnsi="Segoe UI" w:eastAsia="微软雅黑"/>
          <w:b w:val="0"/>
          <w:color w:val="595959"/>
          <w:sz w:val="18"/>
        </w:rPr>
        <w:t>9.3   三情景经济性评价</w:t>
      </w:r>
      <w:r>
        <w:rPr>
          <w:rFonts w:ascii="Segoe UI" w:hAnsi="Segoe UI" w:eastAsia="微软雅黑"/>
          <w:b w:val="0"/>
          <w:color w:val="808080"/>
          <w:sz w:val="17"/>
        </w:rPr>
        <w:tab/>
        <w:t>34</w:t>
      </w:r>
    </w:p>
    <w:p>
      <w:pPr>
        <w:tabs>
          <w:tab w:pos="8674" w:val="right" w:leader="dot"/>
        </w:tabs>
        <w:spacing w:after="80"/>
        <w:ind w:left="170"/>
      </w:pPr>
      <w:r>
        <w:rPr>
          <w:rFonts w:ascii="Segoe UI" w:hAnsi="Segoe UI" w:eastAsia="微软雅黑"/>
          <w:b/>
          <w:color w:val="1F3B57"/>
          <w:sz w:val="20"/>
        </w:rPr>
        <w:t>10   风险分析与决策建议</w:t>
      </w:r>
      <w:r>
        <w:rPr>
          <w:rFonts w:ascii="Segoe UI" w:hAnsi="Segoe UI" w:eastAsia="微软雅黑"/>
          <w:b/>
          <w:color w:val="808080"/>
          <w:sz w:val="18"/>
        </w:rPr>
        <w:tab/>
        <w:t>36</w:t>
      </w:r>
    </w:p>
    <w:p/>
    <w:p>
      <w:pPr>
        <w:jc w:val="center"/>
      </w:pPr>
      <w:r>
        <w:rPr>
          <w:rFonts w:ascii="Segoe UI" w:hAnsi="Segoe UI" w:eastAsia="微软雅黑"/>
          <w:b w:val="0"/>
          <w:color w:val="808080"/>
          <w:sz w:val="16"/>
        </w:rPr>
        <w:t>页码为版面估算值，打印时以页脚实际页码为准。</w:t>
      </w:r>
    </w:p>
    <w:p>
      <w:r>
        <w:br w:type="page"/>
      </w:r>
    </w:p>
    <w:p>
      <w:pPr>
        <w:keepNext/>
        <w:spacing w:before="400" w:after="180"/>
        <w:pBdr>
          <w:bottom w:val="single" w:sz="14" w:space="6" w:color="1F3B57"/>
        </w:pBdr>
      </w:pPr>
      <w:r>
        <w:rPr>
          <w:rFonts w:ascii="Segoe UI" w:hAnsi="Segoe UI" w:eastAsia="微软雅黑"/>
          <w:b/>
          <w:color w:val="1F3B57"/>
          <w:sz w:val="34"/>
        </w:rPr>
        <w:t>执行摘要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本项目拟建设一条中空纤维血液透析膜及透析器生产线，切入血液净化产业链中技术密度最高的膜制造环节。本报告从原料配方、纺丝工艺、验证路径、质量控制、设备选型、投资与经济性六个维度，论证其可行性。</w:t>
      </w:r>
    </w:p>
    <w:p>
      <w:pPr>
        <w:keepNext/>
        <w:spacing w:before="260" w:after="120"/>
      </w:pPr>
      <w:r>
        <w:rPr>
          <w:rFonts w:ascii="Segoe UI" w:hAnsi="Segoe UI" w:eastAsia="微软雅黑"/>
          <w:b/>
          <w:color w:val="C0621B"/>
          <w:sz w:val="25"/>
        </w:rPr>
        <w:t xml:space="preserve">0.1  </w:t>
      </w:r>
      <w:r>
        <w:rPr>
          <w:rFonts w:ascii="Segoe UI" w:hAnsi="Segoe UI" w:eastAsia="微软雅黑"/>
          <w:b/>
          <w:color w:val="1F4E79"/>
          <w:sz w:val="25"/>
        </w:rPr>
        <w:t>结论先行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技术可行，经济上处于“薄利—可控”区间，成败取决于良率与一致性，而非能否做出产品。</w:t>
      </w: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595959"/>
          <w:sz w:val="19"/>
        </w:rPr>
        <w:t>表 0-1  可行性结论一览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928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2494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结论</w:t>
            </w:r>
          </w:p>
        </w:tc>
        <w:tc>
          <w:tcPr>
            <w:tcW w:type="dxa" w:w="5102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关键依据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7"/>
              </w:rPr>
              <w:t>技术可行性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成立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干湿法 NIPS 纺丝路线成熟，参数窗口明确，已有国产厂商验证</w:t>
            </w:r>
          </w:p>
        </w:tc>
      </w:tr>
      <w:tr>
        <w:tc>
          <w:tcPr>
            <w:tcW w:type="dxa" w:w="192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7"/>
              </w:rPr>
              <w:t>工艺可控性</w:t>
            </w:r>
          </w:p>
        </w:tc>
        <w:tc>
          <w:tcPr>
            <w:tcW w:type="dxa" w:w="249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中等偏难</w:t>
            </w:r>
          </w:p>
        </w:tc>
        <w:tc>
          <w:tcPr>
            <w:tcW w:type="dxa" w:w="5102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四要素强耦合、反馈周期长；需 18–24 个月工艺数据积累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7"/>
              </w:rPr>
              <w:t>法规可行性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成立但周期长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III 类注册 24–36 个月，需前置规划</w:t>
            </w:r>
          </w:p>
        </w:tc>
      </w:tr>
      <w:tr>
        <w:tc>
          <w:tcPr>
            <w:tcW w:type="dxa" w:w="192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7"/>
              </w:rPr>
              <w:t>市场可行性</w:t>
            </w:r>
          </w:p>
        </w:tc>
        <w:tc>
          <w:tcPr>
            <w:tcW w:type="dxa" w:w="249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成立</w:t>
            </w:r>
          </w:p>
        </w:tc>
        <w:tc>
          <w:tcPr>
            <w:tcW w:type="dxa" w:w="5102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年需求 1.77 亿支，国产份额已主导，替代空间收窄但配套空间存在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7"/>
              </w:rPr>
              <w:t>经济可行性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基准情景可接受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基准净利率 14.2%，投资回收期 2.1 年；保守情景仅 2.8%，接近盈亏线</w:t>
            </w:r>
          </w:p>
        </w:tc>
      </w:tr>
      <w:tr>
        <w:tc>
          <w:tcPr>
            <w:tcW w:type="dxa" w:w="192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7"/>
              </w:rPr>
              <w:t>主要风险</w:t>
            </w:r>
          </w:p>
        </w:tc>
        <w:tc>
          <w:tcPr>
            <w:tcW w:type="dxa" w:w="249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良率与价格</w:t>
            </w:r>
          </w:p>
        </w:tc>
        <w:tc>
          <w:tcPr>
            <w:tcW w:type="dxa" w:w="5102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良率每降 5 个百分点，净利率降约 4–5 个百分点</w:t>
            </w:r>
          </w:p>
        </w:tc>
      </w:tr>
    </w:tbl>
    <w:p>
      <w:pPr>
        <w:keepNext/>
        <w:spacing w:before="260" w:after="120"/>
      </w:pPr>
      <w:r>
        <w:rPr>
          <w:rFonts w:ascii="Segoe UI" w:hAnsi="Segoe UI" w:eastAsia="微软雅黑"/>
          <w:b/>
          <w:color w:val="C0621B"/>
          <w:sz w:val="25"/>
        </w:rPr>
        <w:t xml:space="preserve">0.2  </w:t>
      </w:r>
      <w:r>
        <w:rPr>
          <w:rFonts w:ascii="Segoe UI" w:hAnsi="Segoe UI" w:eastAsia="微软雅黑"/>
          <w:b/>
          <w:color w:val="1F4E79"/>
          <w:sz w:val="25"/>
        </w:rPr>
        <w:t>关键参数速览</w:t>
      </w: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595959"/>
          <w:sz w:val="19"/>
        </w:rPr>
        <w:t>表 0-2  项目核心参数（设计值）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494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参数</w:t>
            </w:r>
          </w:p>
        </w:tc>
        <w:tc>
          <w:tcPr>
            <w:tcW w:type="dxa" w:w="2835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设计值</w:t>
            </w:r>
          </w:p>
        </w:tc>
        <w:tc>
          <w:tcPr>
            <w:tcW w:type="dxa" w:w="4195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7"/>
              </w:rPr>
              <w:t>投料产能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1,200 万支/年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按 300 天 × 24 h 双班计</w:t>
            </w:r>
          </w:p>
        </w:tc>
      </w:tr>
      <w:tr>
        <w:tc>
          <w:tcPr>
            <w:tcW w:type="dxa" w:w="249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7"/>
              </w:rPr>
              <w:t>基准良率</w:t>
            </w:r>
          </w:p>
        </w:tc>
        <w:tc>
          <w:tcPr>
            <w:tcW w:type="dxa" w:w="283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88%</w:t>
            </w:r>
          </w:p>
        </w:tc>
        <w:tc>
          <w:tcPr>
            <w:tcW w:type="dxa" w:w="419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小试 82% → 中试 88% → 量产 93% 的阶梯</w:t>
            </w:r>
          </w:p>
        </w:tc>
      </w:tr>
      <w:tr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7"/>
              </w:rPr>
              <w:t>出厂价（基准）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38 元/支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集采终端 55 元，渠道折让后倒推</w:t>
            </w:r>
          </w:p>
        </w:tc>
      </w:tr>
      <w:tr>
        <w:tc>
          <w:tcPr>
            <w:tcW w:type="dxa" w:w="249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7"/>
              </w:rPr>
              <w:t>单位变动成本</w:t>
            </w:r>
          </w:p>
        </w:tc>
        <w:tc>
          <w:tcPr>
            <w:tcW w:type="dxa" w:w="283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16 元/支</w:t>
            </w:r>
          </w:p>
        </w:tc>
        <w:tc>
          <w:tcPr>
            <w:tcW w:type="dxa" w:w="419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膜材、壳体、封胶、能耗、人工</w:t>
            </w:r>
          </w:p>
        </w:tc>
      </w:tr>
      <w:tr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7"/>
              </w:rPr>
              <w:t>固定资产投资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15,000 万元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含纺丝线、灌装线、公用工程、洁净厂房</w:t>
            </w:r>
          </w:p>
        </w:tc>
      </w:tr>
      <w:tr>
        <w:tc>
          <w:tcPr>
            <w:tcW w:type="dxa" w:w="249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7"/>
              </w:rPr>
              <w:t>年折旧</w:t>
            </w:r>
          </w:p>
        </w:tc>
        <w:tc>
          <w:tcPr>
            <w:tcW w:type="dxa" w:w="283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1,500 万元</w:t>
            </w:r>
          </w:p>
        </w:tc>
        <w:tc>
          <w:tcPr>
            <w:tcW w:type="dxa" w:w="419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10 年直线法</w:t>
            </w:r>
          </w:p>
        </w:tc>
      </w:tr>
      <w:tr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7"/>
              </w:rPr>
              <w:t>盈亏平衡点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513 万支/年（投料）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含期间费用，有效产出约 451 万支</w:t>
            </w:r>
          </w:p>
        </w:tc>
      </w:tr>
      <w:tr>
        <w:tc>
          <w:tcPr>
            <w:tcW w:type="dxa" w:w="249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7"/>
              </w:rPr>
              <w:t>基准净利率</w:t>
            </w:r>
          </w:p>
        </w:tc>
        <w:tc>
          <w:tcPr>
            <w:tcW w:type="dxa" w:w="283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14.2%</w:t>
            </w:r>
          </w:p>
        </w:tc>
        <w:tc>
          <w:tcPr>
            <w:tcW w:type="dxa" w:w="419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详见第 9 章三情景测算</w:t>
            </w:r>
          </w:p>
        </w:tc>
      </w:tr>
    </w:tbl>
    <w:p>
      <w:pPr>
        <w:spacing w:before="160" w:after="40"/>
        <w:ind w:left="113"/>
        <w:shd w:val="clear" w:color="auto" w:fill="FFF6E9"/>
        <w:pBdr>
          <w:left w:val="single" w:sz="16" w:space="6" w:color="C0621B"/>
        </w:pBdr>
      </w:pPr>
      <w:r>
        <w:rPr>
          <w:rFonts w:ascii="Segoe UI" w:hAnsi="Segoe UI" w:eastAsia="微软雅黑"/>
          <w:b/>
          <w:color w:val="C0621B"/>
          <w:sz w:val="19"/>
        </w:rPr>
        <w:t xml:space="preserve">  最重要的一句话  </w:t>
      </w:r>
    </w:p>
    <w:p>
      <w:pPr>
        <w:spacing w:after="180"/>
        <w:ind w:left="113"/>
        <w:jc w:val="both"/>
        <w:shd w:val="clear" w:color="auto" w:fill="FFF6E9"/>
        <w:pBdr>
          <w:left w:val="single" w:sz="16" w:space="6" w:color="C0621B"/>
        </w:pBdr>
      </w:pPr>
      <w:r>
        <w:rPr>
          <w:rFonts w:ascii="Segoe UI" w:hAnsi="Segoe UI" w:eastAsia="微软雅黑"/>
          <w:b w:val="0"/>
          <w:color w:val="333333"/>
          <w:sz w:val="19"/>
        </w:rPr>
        <w:t xml:space="preserve">  这条产线的经济性不取决于“能不能做出 280 mL/min 的尿素清除率”——那个目标在 Qb300 工况下多数厂商都能达到；它取决于“第 100 万支和第 1 支是不是同一个产品”。良率与批间一致性，是本项目唯一的胜负手。</w:t>
      </w:r>
    </w:p>
    <w:p>
      <w:r>
        <w:br w:type="page"/>
      </w:r>
    </w:p>
    <w:p>
      <w:pPr>
        <w:keepNext/>
        <w:spacing w:before="400" w:after="180"/>
        <w:pBdr>
          <w:bottom w:val="single" w:sz="14" w:space="6" w:color="1F3B57"/>
        </w:pBdr>
      </w:pPr>
      <w:r>
        <w:rPr>
          <w:rFonts w:ascii="Segoe UI" w:hAnsi="Segoe UI" w:eastAsia="微软雅黑"/>
          <w:b/>
          <w:color w:val="1F4E79"/>
          <w:sz w:val="34"/>
        </w:rPr>
        <w:t xml:space="preserve">01  </w:t>
      </w:r>
      <w:r>
        <w:rPr>
          <w:rFonts w:ascii="Segoe UI" w:hAnsi="Segoe UI" w:eastAsia="微软雅黑"/>
          <w:b/>
          <w:color w:val="1F3B57"/>
          <w:sz w:val="34"/>
        </w:rPr>
        <w:t>项目背景与建设必要性</w:t>
      </w:r>
    </w:p>
    <w:p>
      <w:pPr>
        <w:keepNext/>
        <w:spacing w:before="260" w:after="120"/>
      </w:pPr>
      <w:r>
        <w:rPr>
          <w:rFonts w:ascii="Segoe UI" w:hAnsi="Segoe UI" w:eastAsia="微软雅黑"/>
          <w:b/>
          <w:color w:val="C0621B"/>
          <w:sz w:val="25"/>
        </w:rPr>
        <w:t xml:space="preserve">1.1  </w:t>
      </w:r>
      <w:r>
        <w:rPr>
          <w:rFonts w:ascii="Segoe UI" w:hAnsi="Segoe UI" w:eastAsia="微软雅黑"/>
          <w:b/>
          <w:color w:val="1F4E79"/>
          <w:sz w:val="25"/>
        </w:rPr>
        <w:t>需求侧的确定性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血液透析是终末期肾病患者最主要的治疗方式，且具有不可替代、不可中断的特征。我国血透在透患者 113.7 万人（2025 年末），按每周 3 次、每年 52 周、一次一支计算，年透析器需求约 1.77 亿支。这一推导不依赖任何市场预测模型，只需要两个公开事实：患者数与治疗频次。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更关键的是增长的可预测性。我国在透患者过去十年保持约 12% 的年复合增长率，2025 年同比增加约 11 万人。即便增速放缓至 8%–10%，未来五年仍将新增 50 万以上患者，对应年需求增量 7,800 万支。这是一个可以用算术而非判断来把握的市场。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政策端也在加固这一确定性。国家卫健委将“常住人口超过 6 万的县均能提供血液透析服务”纳入 2026 年为民服务实事项目，全国新增 350 家乡镇卫生院、社区卫生服务中心开展透析服务。基层扩容直接转化为透析器需求。</w:t>
      </w:r>
    </w:p>
    <w:p>
      <w:pPr>
        <w:keepNext/>
        <w:spacing w:before="260" w:after="120"/>
      </w:pPr>
      <w:r>
        <w:rPr>
          <w:rFonts w:ascii="Segoe UI" w:hAnsi="Segoe UI" w:eastAsia="微软雅黑"/>
          <w:b/>
          <w:color w:val="C0621B"/>
          <w:sz w:val="25"/>
        </w:rPr>
        <w:t xml:space="preserve">1.2  </w:t>
      </w:r>
      <w:r>
        <w:rPr>
          <w:rFonts w:ascii="Segoe UI" w:hAnsi="Segoe UI" w:eastAsia="微软雅黑"/>
          <w:b/>
          <w:color w:val="1F4E79"/>
          <w:sz w:val="25"/>
        </w:rPr>
        <w:t>供给侧的缺口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需求确定不等于机会存在。透析器成品端的国产替代已基本完成——威高血净单一企业份额达 32.5%，国产合计居主导。但这不意味着没有空间，缺口出现在三个更靠上游或更靠高端的位置：</w:t>
      </w: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595959"/>
          <w:sz w:val="19"/>
        </w:rPr>
        <w:t>表 1-1  供给侧的三个真实缺口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402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缺口位置</w:t>
            </w:r>
          </w:p>
        </w:tc>
        <w:tc>
          <w:tcPr>
            <w:tcW w:type="dxa" w:w="3061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现状</w:t>
            </w:r>
          </w:p>
        </w:tc>
        <w:tc>
          <w:tcPr>
            <w:tcW w:type="dxa" w:w="3175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本项目可切入性</w:t>
            </w:r>
          </w:p>
        </w:tc>
      </w:tr>
      <w:tr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7"/>
              </w:rPr>
              <w:t>膜材料（医用级 PSf/PES、PVP）</w:t>
            </w:r>
          </w:p>
        </w:tc>
        <w:tc>
          <w:tcPr>
            <w:tcW w:type="dxa" w:w="306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依赖境外采购，威高年报明确披露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中——需与化工企业联合开发，周期 3–5 年</w:t>
            </w:r>
          </w:p>
        </w:tc>
      </w:tr>
      <w:tr>
        <w:tc>
          <w:tcPr>
            <w:tcW w:type="dxa" w:w="3402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7"/>
              </w:rPr>
              <w:t>膜丝（裸膜）供应</w:t>
            </w:r>
          </w:p>
        </w:tc>
        <w:tc>
          <w:tcPr>
            <w:tcW w:type="dxa" w:w="306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头部企业自产自用，外售意愿低</w:t>
            </w:r>
          </w:p>
        </w:tc>
        <w:tc>
          <w:tcPr>
            <w:tcW w:type="dxa" w:w="317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高——可为中小透析器厂与整机厂配套</w:t>
            </w:r>
          </w:p>
        </w:tc>
      </w:tr>
      <w:tr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7"/>
              </w:rPr>
              <w:t>高端谱（MCO/HCO）</w:t>
            </w:r>
          </w:p>
        </w:tc>
        <w:tc>
          <w:tcPr>
            <w:tcW w:type="dxa" w:w="306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国产近乎空白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低—中——需底层结构创新，5 年以上</w:t>
            </w:r>
          </w:p>
        </w:tc>
      </w:tr>
      <w:tr>
        <w:tc>
          <w:tcPr>
            <w:tcW w:type="dxa" w:w="3402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7"/>
              </w:rPr>
              <w:t>一致性产能</w:t>
            </w:r>
          </w:p>
        </w:tc>
        <w:tc>
          <w:tcPr>
            <w:tcW w:type="dxa" w:w="306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国产良率与批间稳定性弱于国际一线</w:t>
            </w:r>
          </w:p>
        </w:tc>
        <w:tc>
          <w:tcPr>
            <w:tcW w:type="dxa" w:w="317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高——这正是新建产线可以用新设备弥补的</w:t>
            </w:r>
          </w:p>
        </w:tc>
      </w:tr>
    </w:tbl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本项目选择的位置是第二项与第四项的交集：以新建产线的设备精度与工艺数据积累，做出“一致性可比国际一线”的膜丝，先以 B2B 方式供应透析器组装厂与整机厂，再逐步延伸至自有品牌成品。这条路径避开了与头部企业在终端品牌上的正面冲突。</w:t>
      </w:r>
    </w:p>
    <w:p>
      <w:pPr>
        <w:keepNext/>
        <w:spacing w:before="260" w:after="120"/>
      </w:pPr>
      <w:r>
        <w:rPr>
          <w:rFonts w:ascii="Segoe UI" w:hAnsi="Segoe UI" w:eastAsia="微软雅黑"/>
          <w:b/>
          <w:color w:val="C0621B"/>
          <w:sz w:val="25"/>
        </w:rPr>
        <w:t xml:space="preserve">1.3  </w:t>
      </w:r>
      <w:r>
        <w:rPr>
          <w:rFonts w:ascii="Segoe UI" w:hAnsi="Segoe UI" w:eastAsia="微软雅黑"/>
          <w:b/>
          <w:color w:val="1F4E79"/>
          <w:sz w:val="25"/>
        </w:rPr>
        <w:t>本项目的三个立足点</w:t>
      </w:r>
    </w:p>
    <w:p>
      <w:pPr>
        <w:keepNext/>
        <w:spacing w:before="180" w:after="80"/>
      </w:pPr>
      <w:r>
        <w:rPr>
          <w:rFonts w:ascii="Segoe UI" w:hAnsi="Segoe UI" w:eastAsia="微软雅黑"/>
          <w:b/>
          <w:color w:val="1F3B57"/>
          <w:sz w:val="22"/>
        </w:rPr>
        <w:t>立足点一：工艺路线无歧义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干湿法非溶剂致相分离（NIPS）纺丝是国际公认且唯一大规模产业化的血透膜制造路线。这一点没有技术路线之争，只有工艺参数调优之争。对项目而言，这意味着不需要承担“路线选错”的战略风险，只需承担“参数调不准”的执行风险。后者可以通过 DOE 与时间解决，前者不能。</w:t>
      </w:r>
    </w:p>
    <w:p>
      <w:pPr>
        <w:keepNext/>
        <w:spacing w:before="180" w:after="80"/>
      </w:pPr>
      <w:r>
        <w:rPr>
          <w:rFonts w:ascii="Segoe UI" w:hAnsi="Segoe UI" w:eastAsia="微软雅黑"/>
          <w:b/>
          <w:color w:val="1F3B57"/>
          <w:sz w:val="22"/>
        </w:rPr>
        <w:t>立足点二：产品定义清晰可测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透析膜的性能指标是明确且可测的：尿素清除率、β2-MG 清除率、Kuf、白蛋白筛分系数、残留溶剂量。每项都有标准方法与判定阈值。这使项目可以在早期就建立客观的验收标尺，而不必依赖主观判断。</w:t>
      </w:r>
    </w:p>
    <w:p>
      <w:pPr>
        <w:keepNext/>
        <w:spacing w:before="180" w:after="80"/>
      </w:pPr>
      <w:r>
        <w:rPr>
          <w:rFonts w:ascii="Segoe UI" w:hAnsi="Segoe UI" w:eastAsia="微软雅黑"/>
          <w:b/>
          <w:color w:val="1F3B57"/>
          <w:sz w:val="22"/>
        </w:rPr>
        <w:t>立足点三：经济模型可压力测试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本项目产品的价格已被集采锚定（终端 55 元、出厂 35–42 元），成本结构可拆解（膜材、壳体、封胶、能耗、人工、折旧），因此经济性可以做三情景压力测试，而不是给一个乐观的单点预测。第 9 章给出的保守/基准/乐观三情景，覆盖了从“刚过盈亏线”到“良好回报”的完整区间。</w:t>
      </w:r>
    </w:p>
    <w:p>
      <w:pPr>
        <w:spacing w:before="160" w:after="40"/>
        <w:ind w:left="113"/>
        <w:shd w:val="clear" w:color="auto" w:fill="FFF6E9"/>
        <w:pBdr>
          <w:left w:val="single" w:sz="16" w:space="6" w:color="C0621B"/>
        </w:pBdr>
      </w:pPr>
      <w:r>
        <w:rPr>
          <w:rFonts w:ascii="Segoe UI" w:hAnsi="Segoe UI" w:eastAsia="微软雅黑"/>
          <w:b/>
          <w:color w:val="C0621B"/>
          <w:sz w:val="19"/>
        </w:rPr>
        <w:t xml:space="preserve">  需要正视的前提  </w:t>
      </w:r>
    </w:p>
    <w:p>
      <w:pPr>
        <w:spacing w:after="180"/>
        <w:ind w:left="113"/>
        <w:jc w:val="both"/>
        <w:shd w:val="clear" w:color="auto" w:fill="FFF6E9"/>
        <w:pBdr>
          <w:left w:val="single" w:sz="16" w:space="6" w:color="C0621B"/>
        </w:pBdr>
      </w:pPr>
      <w:r>
        <w:rPr>
          <w:rFonts w:ascii="Segoe UI" w:hAnsi="Segoe UI" w:eastAsia="微软雅黑"/>
          <w:b w:val="0"/>
          <w:color w:val="333333"/>
          <w:sz w:val="19"/>
        </w:rPr>
        <w:t xml:space="preserve">  本项目不是“蓝海创业”，而是“在已被集采压薄利润的成熟品类里，用制造能力换取份额”的工业项目。它的回报来自规模与良率，不来自溢价。任何期待高毛利的假设，都与这个品类的现实不符。</w:t>
      </w:r>
    </w:p>
    <w:p>
      <w:r>
        <w:br w:type="page"/>
      </w:r>
    </w:p>
    <w:p>
      <w:pPr>
        <w:keepNext/>
        <w:spacing w:before="400" w:after="180"/>
        <w:pBdr>
          <w:bottom w:val="single" w:sz="14" w:space="6" w:color="1F3B57"/>
        </w:pBdr>
      </w:pPr>
      <w:r>
        <w:rPr>
          <w:rFonts w:ascii="Segoe UI" w:hAnsi="Segoe UI" w:eastAsia="微软雅黑"/>
          <w:b/>
          <w:color w:val="1F4E79"/>
          <w:sz w:val="34"/>
        </w:rPr>
        <w:t xml:space="preserve">02  </w:t>
      </w:r>
      <w:r>
        <w:rPr>
          <w:rFonts w:ascii="Segoe UI" w:hAnsi="Segoe UI" w:eastAsia="微软雅黑"/>
          <w:b/>
          <w:color w:val="1F3B57"/>
          <w:sz w:val="34"/>
        </w:rPr>
        <w:t>原料配方与铸膜液制备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铸膜液是纺丝的起点，也是产品性能的第一道决定因素。它的配方不是“几种料按比例混合”，而是一个热力学体系的设定——聚合物的种类与浓度、溶剂的选择、添加剂的分子量，共同决定了相分离的路径。</w:t>
      </w:r>
    </w:p>
    <w:p>
      <w:pPr>
        <w:keepNext/>
        <w:spacing w:before="260" w:after="120"/>
      </w:pPr>
      <w:r>
        <w:rPr>
          <w:rFonts w:ascii="Segoe UI" w:hAnsi="Segoe UI" w:eastAsia="微软雅黑"/>
          <w:b/>
          <w:color w:val="C0621B"/>
          <w:sz w:val="25"/>
        </w:rPr>
        <w:t xml:space="preserve">2.1  </w:t>
      </w:r>
      <w:r>
        <w:rPr>
          <w:rFonts w:ascii="Segoe UI" w:hAnsi="Segoe UI" w:eastAsia="微软雅黑"/>
          <w:b/>
          <w:color w:val="1F4E79"/>
          <w:sz w:val="25"/>
        </w:rPr>
        <w:t>四元配方体系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血透膜铸膜液通常由四个组分构成，缺一不可：</w:t>
      </w: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595959"/>
          <w:sz w:val="19"/>
        </w:rPr>
        <w:t>表 2-1  铸膜液四元体系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030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组分</w:t>
            </w:r>
          </w:p>
        </w:tc>
        <w:tc>
          <w:tcPr>
            <w:tcW w:type="dxa" w:w="2823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作用</w:t>
            </w:r>
          </w:p>
        </w:tc>
        <w:tc>
          <w:tcPr>
            <w:tcW w:type="dxa" w:w="2370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典型选择</w:t>
            </w:r>
          </w:p>
        </w:tc>
        <w:tc>
          <w:tcPr>
            <w:tcW w:type="dxa" w:w="2483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关键规格要求</w:t>
            </w:r>
          </w:p>
        </w:tc>
      </w:tr>
      <w:tr>
        <w:tc>
          <w:tcPr>
            <w:tcW w:type="dxa" w:w="2030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聚合物（基材）</w:t>
            </w:r>
          </w:p>
        </w:tc>
        <w:tc>
          <w:tcPr>
            <w:tcW w:type="dxa" w:w="2823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成膜骨架，决定机械强度与孔径上限</w:t>
            </w:r>
          </w:p>
        </w:tc>
        <w:tc>
          <w:tcPr>
            <w:tcW w:type="dxa" w:w="2370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聚砜 PSf 或聚醚砜 PES</w:t>
            </w:r>
          </w:p>
        </w:tc>
        <w:tc>
          <w:tcPr>
            <w:tcW w:type="dxa" w:w="2483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医用级；分子量分布窄；低聚物与色度受控</w:t>
            </w:r>
          </w:p>
        </w:tc>
      </w:tr>
      <w:tr>
        <w:tc>
          <w:tcPr>
            <w:tcW w:type="dxa" w:w="2030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溶剂</w:t>
            </w:r>
          </w:p>
        </w:tc>
        <w:tc>
          <w:tcPr>
            <w:tcW w:type="dxa" w:w="2823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溶解聚合物，形成均相溶液</w:t>
            </w:r>
          </w:p>
        </w:tc>
        <w:tc>
          <w:tcPr>
            <w:tcW w:type="dxa" w:w="2370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DMAc、NMP、DMSO</w:t>
            </w:r>
          </w:p>
        </w:tc>
        <w:tc>
          <w:tcPr>
            <w:tcW w:type="dxa" w:w="2483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含水量 &lt; 0.05%；纯度 ≥ 99.5%</w:t>
            </w:r>
          </w:p>
        </w:tc>
      </w:tr>
      <w:tr>
        <w:tc>
          <w:tcPr>
            <w:tcW w:type="dxa" w:w="2030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亲水添加剂</w:t>
            </w:r>
          </w:p>
        </w:tc>
        <w:tc>
          <w:tcPr>
            <w:tcW w:type="dxa" w:w="2823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致孔 + 提高亲水性 + 抑制蛋白吸附</w:t>
            </w:r>
          </w:p>
        </w:tc>
        <w:tc>
          <w:tcPr>
            <w:tcW w:type="dxa" w:w="2370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PVP（K30/K90 复配）</w:t>
            </w:r>
          </w:p>
        </w:tc>
        <w:tc>
          <w:tcPr>
            <w:tcW w:type="dxa" w:w="2483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K 值稳定；残留单体（VP）低</w:t>
            </w:r>
          </w:p>
        </w:tc>
      </w:tr>
      <w:tr>
        <w:tc>
          <w:tcPr>
            <w:tcW w:type="dxa" w:w="2030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非溶剂（可选）</w:t>
            </w:r>
          </w:p>
        </w:tc>
        <w:tc>
          <w:tcPr>
            <w:tcW w:type="dxa" w:w="2823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调节相分离起点，抑制大孔</w:t>
            </w:r>
          </w:p>
        </w:tc>
        <w:tc>
          <w:tcPr>
            <w:tcW w:type="dxa" w:w="2370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水、乙醇、或与溶剂互溶的弱非溶剂</w:t>
            </w:r>
          </w:p>
        </w:tc>
        <w:tc>
          <w:tcPr>
            <w:tcW w:type="dxa" w:w="2483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用量精确，通常 &lt; 5 wt%</w:t>
            </w:r>
          </w:p>
        </w:tc>
      </w:tr>
    </w:tbl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这里有一个与 PTFE 项目根本不同的地方：PTFE 是“树脂 + 助挤剂”的二元物理混合体系，配方错了可以重来；血透膜是热力学体系，配方错了不是“性能差一点”，而是“根本分不出想要的孔结构”。因此配方的确定必须与相图结合，不能靠试凑。</w:t>
      </w:r>
    </w:p>
    <w:p>
      <w:pPr>
        <w:keepNext/>
        <w:spacing w:before="260" w:after="120"/>
      </w:pPr>
      <w:r>
        <w:rPr>
          <w:rFonts w:ascii="Segoe UI" w:hAnsi="Segoe UI" w:eastAsia="微软雅黑"/>
          <w:b/>
          <w:color w:val="C0621B"/>
          <w:sz w:val="25"/>
        </w:rPr>
        <w:t xml:space="preserve">2.2  </w:t>
      </w:r>
      <w:r>
        <w:rPr>
          <w:rFonts w:ascii="Segoe UI" w:hAnsi="Segoe UI" w:eastAsia="微软雅黑"/>
          <w:b/>
          <w:color w:val="1F4E79"/>
          <w:sz w:val="25"/>
        </w:rPr>
        <w:t>配比与固含量窗口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固含量（聚合物质量分数）是最重要的单一参数，它同时影响黏度、相分离行为、孔径与强度。</w:t>
      </w: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595959"/>
          <w:sz w:val="19"/>
        </w:rPr>
        <w:t>表 2-2  固含量与添加剂的窗口设定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143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参数</w:t>
            </w:r>
          </w:p>
        </w:tc>
        <w:tc>
          <w:tcPr>
            <w:tcW w:type="dxa" w:w="2823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推荐窗口</w:t>
            </w:r>
          </w:p>
        </w:tc>
        <w:tc>
          <w:tcPr>
            <w:tcW w:type="dxa" w:w="2483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偏高时</w:t>
            </w:r>
          </w:p>
        </w:tc>
        <w:tc>
          <w:tcPr>
            <w:tcW w:type="dxa" w:w="2256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偏低时</w:t>
            </w:r>
          </w:p>
        </w:tc>
      </w:tr>
      <w:tr>
        <w:tc>
          <w:tcPr>
            <w:tcW w:type="dxa" w:w="2143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聚合物固含量</w:t>
            </w:r>
          </w:p>
        </w:tc>
        <w:tc>
          <w:tcPr>
            <w:tcW w:type="dxa" w:w="2823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15–20 wt%</w:t>
            </w:r>
          </w:p>
        </w:tc>
        <w:tc>
          <w:tcPr>
            <w:tcW w:type="dxa" w:w="2483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黏度高、孔径小、强度高、通量低</w:t>
            </w:r>
          </w:p>
        </w:tc>
        <w:tc>
          <w:tcPr>
            <w:tcW w:type="dxa" w:w="2256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黏度低、易成孔但强度不足、易缺陷</w:t>
            </w:r>
          </w:p>
        </w:tc>
      </w:tr>
      <w:tr>
        <w:tc>
          <w:tcPr>
            <w:tcW w:type="dxa" w:w="2143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PVP 总量</w:t>
            </w:r>
          </w:p>
        </w:tc>
        <w:tc>
          <w:tcPr>
            <w:tcW w:type="dxa" w:w="2823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3–8 wt%（占铸膜液）</w:t>
            </w:r>
          </w:p>
        </w:tc>
        <w:tc>
          <w:tcPr>
            <w:tcW w:type="dxa" w:w="2483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亲水性好、开孔多，但溶出风险上升</w:t>
            </w:r>
          </w:p>
        </w:tc>
        <w:tc>
          <w:tcPr>
            <w:tcW w:type="dxa" w:w="2256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疏水、通量低、易蛋白吸附</w:t>
            </w:r>
          </w:p>
        </w:tc>
      </w:tr>
      <w:tr>
        <w:tc>
          <w:tcPr>
            <w:tcW w:type="dxa" w:w="2143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PVP K 值配比</w:t>
            </w:r>
          </w:p>
        </w:tc>
        <w:tc>
          <w:tcPr>
            <w:tcW w:type="dxa" w:w="2823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K90 : K30 ≈ 1 : 1 至 2 : 1</w:t>
            </w:r>
          </w:p>
        </w:tc>
        <w:tc>
          <w:tcPr>
            <w:tcW w:type="dxa" w:w="2483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高分子量占比高→孔壁稳定但黏度大</w:t>
            </w:r>
          </w:p>
        </w:tc>
        <w:tc>
          <w:tcPr>
            <w:tcW w:type="dxa" w:w="2256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低分子量占比高→致孔强但易流失</w:t>
            </w:r>
          </w:p>
        </w:tc>
      </w:tr>
      <w:tr>
        <w:tc>
          <w:tcPr>
            <w:tcW w:type="dxa" w:w="2143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溶剂/非溶剂比</w:t>
            </w:r>
          </w:p>
        </w:tc>
        <w:tc>
          <w:tcPr>
            <w:tcW w:type="dxa" w:w="2823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以不提前分相为限</w:t>
            </w:r>
          </w:p>
        </w:tc>
        <w:tc>
          <w:tcPr>
            <w:tcW w:type="dxa" w:w="2483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—</w:t>
            </w:r>
          </w:p>
        </w:tc>
        <w:tc>
          <w:tcPr>
            <w:tcW w:type="dxa" w:w="2256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接近浊点，批次波动敏感</w:t>
            </w:r>
          </w:p>
        </w:tc>
      </w:tr>
      <w:tr>
        <w:tc>
          <w:tcPr>
            <w:tcW w:type="dxa" w:w="2143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铸膜液温度</w:t>
            </w:r>
          </w:p>
        </w:tc>
        <w:tc>
          <w:tcPr>
            <w:tcW w:type="dxa" w:w="2823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60–80 ℃ 溶解，纺丝前降至 25–40 ℃</w:t>
            </w:r>
          </w:p>
        </w:tc>
        <w:tc>
          <w:tcPr>
            <w:tcW w:type="dxa" w:w="2483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降解风险（长时间高温）</w:t>
            </w:r>
          </w:p>
        </w:tc>
        <w:tc>
          <w:tcPr>
            <w:tcW w:type="dxa" w:w="2256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溶解不完全，凝胶颗粒</w:t>
            </w:r>
          </w:p>
        </w:tc>
      </w:tr>
    </w:tbl>
    <w:p>
      <w:pPr>
        <w:spacing w:before="160" w:after="40"/>
        <w:ind w:left="113"/>
        <w:shd w:val="clear" w:color="auto" w:fill="FFF6E9"/>
        <w:pBdr>
          <w:left w:val="single" w:sz="16" w:space="6" w:color="C0621B"/>
        </w:pBdr>
      </w:pPr>
      <w:r>
        <w:rPr>
          <w:rFonts w:ascii="Segoe UI" w:hAnsi="Segoe UI" w:eastAsia="微软雅黑"/>
          <w:b/>
          <w:color w:val="C0621B"/>
          <w:sz w:val="19"/>
        </w:rPr>
        <w:t xml:space="preserve">  固含量与通量的取舍  </w:t>
      </w:r>
    </w:p>
    <w:p>
      <w:pPr>
        <w:spacing w:after="180"/>
        <w:ind w:left="113"/>
        <w:jc w:val="both"/>
        <w:shd w:val="clear" w:color="auto" w:fill="FFF6E9"/>
        <w:pBdr>
          <w:left w:val="single" w:sz="16" w:space="6" w:color="C0621B"/>
        </w:pBdr>
      </w:pPr>
      <w:r>
        <w:rPr>
          <w:rFonts w:ascii="Segoe UI" w:hAnsi="Segoe UI" w:eastAsia="微软雅黑"/>
          <w:b w:val="0"/>
          <w:color w:val="333333"/>
          <w:sz w:val="19"/>
        </w:rPr>
        <w:t xml:space="preserve">  这是一个典型的“两头都不讨好”的参数：固含量每提高 1 个百分点，机械强度上升但通量下降约 5%–8%。本项目建议先在 17 wt% 建立基线，再以 ±2 wt% 做 DOE，找到“强度满足灌封与运输、通量满足高通量定义”的窄交点。</w:t>
      </w:r>
    </w:p>
    <w:p>
      <w:pPr>
        <w:keepNext/>
        <w:spacing w:before="260" w:after="120"/>
      </w:pPr>
      <w:r>
        <w:rPr>
          <w:rFonts w:ascii="Segoe UI" w:hAnsi="Segoe UI" w:eastAsia="微软雅黑"/>
          <w:b/>
          <w:color w:val="C0621B"/>
          <w:sz w:val="25"/>
        </w:rPr>
        <w:t xml:space="preserve">2.3  </w:t>
      </w:r>
      <w:r>
        <w:rPr>
          <w:rFonts w:ascii="Segoe UI" w:hAnsi="Segoe UI" w:eastAsia="微软雅黑"/>
          <w:b/>
          <w:color w:val="1F4E79"/>
          <w:sz w:val="25"/>
        </w:rPr>
        <w:t>溶解、脱泡与熟化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铸膜液制备看似简单，实则决定了纺丝的稳定性。三个环节各有硬指标：</w:t>
      </w: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595959"/>
          <w:sz w:val="19"/>
        </w:rPr>
        <w:t>表 2-3  铸膜液制备工艺与判据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723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工序</w:t>
            </w:r>
          </w:p>
        </w:tc>
        <w:tc>
          <w:tcPr>
            <w:tcW w:type="dxa" w:w="3453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工艺条件</w:t>
            </w:r>
          </w:p>
        </w:tc>
        <w:tc>
          <w:tcPr>
            <w:tcW w:type="dxa" w:w="2154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判据</w:t>
            </w:r>
          </w:p>
        </w:tc>
        <w:tc>
          <w:tcPr>
            <w:tcW w:type="dxa" w:w="2375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失败后果</w:t>
            </w:r>
          </w:p>
        </w:tc>
      </w:tr>
      <w:tr>
        <w:tc>
          <w:tcPr>
            <w:tcW w:type="dxa" w:w="1723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投料与预混</w:t>
            </w:r>
          </w:p>
        </w:tc>
        <w:tc>
          <w:tcPr>
            <w:tcW w:type="dxa" w:w="3453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溶剂先入，聚合物缓慢分散，避免结块</w:t>
            </w:r>
          </w:p>
        </w:tc>
        <w:tc>
          <w:tcPr>
            <w:tcW w:type="dxa" w:w="215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无干粉团块</w:t>
            </w:r>
          </w:p>
        </w:tc>
        <w:tc>
          <w:tcPr>
            <w:tcW w:type="dxa" w:w="237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溶解不均→喷丝孔堵塞</w:t>
            </w:r>
          </w:p>
        </w:tc>
      </w:tr>
      <w:tr>
        <w:tc>
          <w:tcPr>
            <w:tcW w:type="dxa" w:w="1723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加热溶解</w:t>
            </w:r>
          </w:p>
        </w:tc>
        <w:tc>
          <w:tcPr>
            <w:tcW w:type="dxa" w:w="3453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60–80 ℃，带搅拌，时间 4–8 h</w:t>
            </w:r>
          </w:p>
        </w:tc>
        <w:tc>
          <w:tcPr>
            <w:tcW w:type="dxa" w:w="215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溶液透明、无凝胶颗粒</w:t>
            </w:r>
          </w:p>
        </w:tc>
        <w:tc>
          <w:tcPr>
            <w:tcW w:type="dxa" w:w="237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鱼眼→断丝</w:t>
            </w:r>
          </w:p>
        </w:tc>
      </w:tr>
      <w:tr>
        <w:tc>
          <w:tcPr>
            <w:tcW w:type="dxa" w:w="1723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真空脱泡</w:t>
            </w:r>
          </w:p>
        </w:tc>
        <w:tc>
          <w:tcPr>
            <w:tcW w:type="dxa" w:w="3453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真空度 ≤ -0.09 MPa，恒温静置 4–12 h</w:t>
            </w:r>
          </w:p>
        </w:tc>
        <w:tc>
          <w:tcPr>
            <w:tcW w:type="dxa" w:w="215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无可见气泡</w:t>
            </w:r>
          </w:p>
        </w:tc>
        <w:tc>
          <w:tcPr>
            <w:tcW w:type="dxa" w:w="237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气泡→纤维空腔缺陷</w:t>
            </w:r>
          </w:p>
        </w:tc>
      </w:tr>
      <w:tr>
        <w:tc>
          <w:tcPr>
            <w:tcW w:type="dxa" w:w="1723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过滤</w:t>
            </w:r>
          </w:p>
        </w:tc>
        <w:tc>
          <w:tcPr>
            <w:tcW w:type="dxa" w:w="3453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逐级过滤至 5–20 µm</w:t>
            </w:r>
          </w:p>
        </w:tc>
        <w:tc>
          <w:tcPr>
            <w:tcW w:type="dxa" w:w="215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压差稳定</w:t>
            </w:r>
          </w:p>
        </w:tc>
        <w:tc>
          <w:tcPr>
            <w:tcW w:type="dxa" w:w="237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杂质→喷丝孔局部堵塞、丝径波动</w:t>
            </w:r>
          </w:p>
        </w:tc>
      </w:tr>
      <w:tr>
        <w:tc>
          <w:tcPr>
            <w:tcW w:type="dxa" w:w="1723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熟化（静置）</w:t>
            </w:r>
          </w:p>
        </w:tc>
        <w:tc>
          <w:tcPr>
            <w:tcW w:type="dxa" w:w="3453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25–40 ℃，12–24 h</w:t>
            </w:r>
          </w:p>
        </w:tc>
        <w:tc>
          <w:tcPr>
            <w:tcW w:type="dxa" w:w="215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黏度稳定（±3%）</w:t>
            </w:r>
          </w:p>
        </w:tc>
        <w:tc>
          <w:tcPr>
            <w:tcW w:type="dxa" w:w="237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黏度漂移→壁厚波动</w:t>
            </w:r>
          </w:p>
        </w:tc>
      </w:tr>
    </w:tbl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熟化这一环节常被简化，但它对稳定性的贡献很大。刚溶解完的溶液，聚合物链尚未完全舒展，分子间缠结状态不稳定；静置 12 小时以上，黏度才会收敛到稳定值。若跳过熟化直接纺丝，前几批与后几批的壁厚会明显不同——这类问题在成品检测中表现为“清除率莫名波动”，极难追溯。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另一个易被忽略的细节是溶剂含水量的控制。DMAc 与 NMP 都强吸湿，敞口存放 24 小时含水量可上升数百 ppm。而水在这个体系里是强非溶剂——微量水足以改变相分离起点。因此溶剂储罐必须氮封或干燥呼吸，且每次配液前检测含水量。这类“看不见的变量”，是国产膜一致性弱于进口的常见原因之一。</w:t>
      </w:r>
    </w:p>
    <w:p>
      <w:r>
        <w:br w:type="page"/>
      </w:r>
    </w:p>
    <w:p>
      <w:pPr>
        <w:keepNext/>
        <w:spacing w:before="400" w:after="180"/>
        <w:pBdr>
          <w:bottom w:val="single" w:sz="14" w:space="6" w:color="1F3B57"/>
        </w:pBdr>
      </w:pPr>
      <w:r>
        <w:rPr>
          <w:rFonts w:ascii="Segoe UI" w:hAnsi="Segoe UI" w:eastAsia="微软雅黑"/>
          <w:b/>
          <w:color w:val="1F4E79"/>
          <w:sz w:val="34"/>
        </w:rPr>
        <w:t xml:space="preserve">03  </w:t>
      </w:r>
      <w:r>
        <w:rPr>
          <w:rFonts w:ascii="Segoe UI" w:hAnsi="Segoe UI" w:eastAsia="微软雅黑"/>
          <w:b/>
          <w:color w:val="1F3B57"/>
          <w:sz w:val="34"/>
        </w:rPr>
        <w:t>纺丝工艺参数窗口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纺丝是本项目的核心技术环节，也是投资的主要指向。这一章把工艺参数拆成“可设定、可测量、可追溯”的清单，为后续的 DOE 与 SOP 提供底座。</w:t>
      </w:r>
    </w:p>
    <w:p>
      <w:pPr>
        <w:keepNext/>
        <w:spacing w:before="260" w:after="120"/>
      </w:pPr>
      <w:r>
        <w:rPr>
          <w:rFonts w:ascii="Segoe UI" w:hAnsi="Segoe UI" w:eastAsia="微软雅黑"/>
          <w:b/>
          <w:color w:val="C0621B"/>
          <w:sz w:val="25"/>
        </w:rPr>
        <w:t xml:space="preserve">3.1  </w:t>
      </w:r>
      <w:r>
        <w:rPr>
          <w:rFonts w:ascii="Segoe UI" w:hAnsi="Segoe UI" w:eastAsia="微软雅黑"/>
          <w:b/>
          <w:color w:val="1F4E79"/>
          <w:sz w:val="25"/>
        </w:rPr>
        <w:t>干湿法纺丝的工艺参数表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干湿法（dry-jet wet spinning）与纯湿法的差别，在于喷丝头出口与凝固浴之间保留一段空气隙。这段距离让溶液细流在进入凝固浴前发生部分溶剂挥发与链段取向，从而在纤维截面上形成“外致密、内疏松”的不对称结构——这正是透析膜需要的形态。</w:t>
      </w: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595959"/>
          <w:sz w:val="19"/>
        </w:rPr>
        <w:t>表 3-1  纺丝工序核心参数窗口（设计基线）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253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参数类别</w:t>
            </w:r>
          </w:p>
        </w:tc>
        <w:tc>
          <w:tcPr>
            <w:tcW w:type="dxa" w:w="1774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参数</w:t>
            </w:r>
          </w:p>
        </w:tc>
        <w:tc>
          <w:tcPr>
            <w:tcW w:type="dxa" w:w="2818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推荐窗口</w:t>
            </w:r>
          </w:p>
        </w:tc>
        <w:tc>
          <w:tcPr>
            <w:tcW w:type="dxa" w:w="1565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控制精度</w:t>
            </w:r>
          </w:p>
        </w:tc>
        <w:tc>
          <w:tcPr>
            <w:tcW w:type="dxa" w:w="2296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对结构的影响</w:t>
            </w:r>
          </w:p>
        </w:tc>
      </w:tr>
      <w:tr>
        <w:tc>
          <w:tcPr>
            <w:tcW w:type="dxa" w:w="1253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铸膜液</w:t>
            </w:r>
          </w:p>
        </w:tc>
        <w:tc>
          <w:tcPr>
            <w:tcW w:type="dxa" w:w="177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固含量</w:t>
            </w:r>
          </w:p>
        </w:tc>
        <w:tc>
          <w:tcPr>
            <w:tcW w:type="dxa" w:w="281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17 ± 2 wt%</w:t>
            </w:r>
          </w:p>
        </w:tc>
        <w:tc>
          <w:tcPr>
            <w:tcW w:type="dxa" w:w="156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± 0.2 wt%</w:t>
            </w:r>
          </w:p>
        </w:tc>
        <w:tc>
          <w:tcPr>
            <w:tcW w:type="dxa" w:w="2296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孔径、强度、通量</w:t>
            </w:r>
          </w:p>
        </w:tc>
      </w:tr>
      <w:tr>
        <w:tc>
          <w:tcPr>
            <w:tcW w:type="dxa" w:w="1253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铸膜液</w:t>
            </w:r>
          </w:p>
        </w:tc>
        <w:tc>
          <w:tcPr>
            <w:tcW w:type="dxa" w:w="177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温度（纺丝时）</w:t>
            </w:r>
          </w:p>
        </w:tc>
        <w:tc>
          <w:tcPr>
            <w:tcW w:type="dxa" w:w="281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25–40 ℃</w:t>
            </w:r>
          </w:p>
        </w:tc>
        <w:tc>
          <w:tcPr>
            <w:tcW w:type="dxa" w:w="156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± 1 ℃</w:t>
            </w:r>
          </w:p>
        </w:tc>
        <w:tc>
          <w:tcPr>
            <w:tcW w:type="dxa" w:w="2296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黏度→壁厚</w:t>
            </w:r>
          </w:p>
        </w:tc>
      </w:tr>
      <w:tr>
        <w:tc>
          <w:tcPr>
            <w:tcW w:type="dxa" w:w="1253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铸膜液</w:t>
            </w:r>
          </w:p>
        </w:tc>
        <w:tc>
          <w:tcPr>
            <w:tcW w:type="dxa" w:w="177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挤出速率</w:t>
            </w:r>
          </w:p>
        </w:tc>
        <w:tc>
          <w:tcPr>
            <w:tcW w:type="dxa" w:w="281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按线速度匹配</w:t>
            </w:r>
          </w:p>
        </w:tc>
        <w:tc>
          <w:tcPr>
            <w:tcW w:type="dxa" w:w="156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± 1%</w:t>
            </w:r>
          </w:p>
        </w:tc>
        <w:tc>
          <w:tcPr>
            <w:tcW w:type="dxa" w:w="2296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壁厚与丝径</w:t>
            </w:r>
          </w:p>
        </w:tc>
      </w:tr>
      <w:tr>
        <w:tc>
          <w:tcPr>
            <w:tcW w:type="dxa" w:w="1253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芯液</w:t>
            </w:r>
          </w:p>
        </w:tc>
        <w:tc>
          <w:tcPr>
            <w:tcW w:type="dxa" w:w="177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组成</w:t>
            </w:r>
          </w:p>
        </w:tc>
        <w:tc>
          <w:tcPr>
            <w:tcW w:type="dxa" w:w="281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溶剂/水混合（如 NMP 60–80%）</w:t>
            </w:r>
          </w:p>
        </w:tc>
        <w:tc>
          <w:tcPr>
            <w:tcW w:type="dxa" w:w="156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± 1 wt%</w:t>
            </w:r>
          </w:p>
        </w:tc>
        <w:tc>
          <w:tcPr>
            <w:tcW w:type="dxa" w:w="2296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内表面孔结构</w:t>
            </w:r>
          </w:p>
        </w:tc>
      </w:tr>
      <w:tr>
        <w:tc>
          <w:tcPr>
            <w:tcW w:type="dxa" w:w="1253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芯液</w:t>
            </w:r>
          </w:p>
        </w:tc>
        <w:tc>
          <w:tcPr>
            <w:tcW w:type="dxa" w:w="177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流量</w:t>
            </w:r>
          </w:p>
        </w:tc>
        <w:tc>
          <w:tcPr>
            <w:tcW w:type="dxa" w:w="281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与铸膜液流量比 0.6–1.0</w:t>
            </w:r>
          </w:p>
        </w:tc>
        <w:tc>
          <w:tcPr>
            <w:tcW w:type="dxa" w:w="156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± 2%</w:t>
            </w:r>
          </w:p>
        </w:tc>
        <w:tc>
          <w:tcPr>
            <w:tcW w:type="dxa" w:w="2296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内径与壁厚</w:t>
            </w:r>
          </w:p>
        </w:tc>
      </w:tr>
      <w:tr>
        <w:tc>
          <w:tcPr>
            <w:tcW w:type="dxa" w:w="1253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空气隙</w:t>
            </w:r>
          </w:p>
        </w:tc>
        <w:tc>
          <w:tcPr>
            <w:tcW w:type="dxa" w:w="177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长度</w:t>
            </w:r>
          </w:p>
        </w:tc>
        <w:tc>
          <w:tcPr>
            <w:tcW w:type="dxa" w:w="281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5–25 cm</w:t>
            </w:r>
          </w:p>
        </w:tc>
        <w:tc>
          <w:tcPr>
            <w:tcW w:type="dxa" w:w="156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± 2 mm</w:t>
            </w:r>
          </w:p>
        </w:tc>
        <w:tc>
          <w:tcPr>
            <w:tcW w:type="dxa" w:w="2296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取向度、外表面致密度</w:t>
            </w:r>
          </w:p>
        </w:tc>
      </w:tr>
      <w:tr>
        <w:tc>
          <w:tcPr>
            <w:tcW w:type="dxa" w:w="1253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空气隙</w:t>
            </w:r>
          </w:p>
        </w:tc>
        <w:tc>
          <w:tcPr>
            <w:tcW w:type="dxa" w:w="177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温湿度</w:t>
            </w:r>
          </w:p>
        </w:tc>
        <w:tc>
          <w:tcPr>
            <w:tcW w:type="dxa" w:w="281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25–35 ℃，RH 40–65%</w:t>
            </w:r>
          </w:p>
        </w:tc>
        <w:tc>
          <w:tcPr>
            <w:tcW w:type="dxa" w:w="156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± 2 ℃ / ± 5%</w:t>
            </w:r>
          </w:p>
        </w:tc>
        <w:tc>
          <w:tcPr>
            <w:tcW w:type="dxa" w:w="2296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溶剂挥发速率</w:t>
            </w:r>
          </w:p>
        </w:tc>
      </w:tr>
      <w:tr>
        <w:tc>
          <w:tcPr>
            <w:tcW w:type="dxa" w:w="1253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凝固浴</w:t>
            </w:r>
          </w:p>
        </w:tc>
        <w:tc>
          <w:tcPr>
            <w:tcW w:type="dxa" w:w="177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组成</w:t>
            </w:r>
          </w:p>
        </w:tc>
        <w:tc>
          <w:tcPr>
            <w:tcW w:type="dxa" w:w="281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水或溶剂-水（溶剂 0–40 wt%）</w:t>
            </w:r>
          </w:p>
        </w:tc>
        <w:tc>
          <w:tcPr>
            <w:tcW w:type="dxa" w:w="156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± 1 wt%</w:t>
            </w:r>
          </w:p>
        </w:tc>
        <w:tc>
          <w:tcPr>
            <w:tcW w:type="dxa" w:w="2296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孔径与孔隙率（主导）</w:t>
            </w:r>
          </w:p>
        </w:tc>
      </w:tr>
      <w:tr>
        <w:tc>
          <w:tcPr>
            <w:tcW w:type="dxa" w:w="1253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凝固浴</w:t>
            </w:r>
          </w:p>
        </w:tc>
        <w:tc>
          <w:tcPr>
            <w:tcW w:type="dxa" w:w="177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温度</w:t>
            </w:r>
          </w:p>
        </w:tc>
        <w:tc>
          <w:tcPr>
            <w:tcW w:type="dxa" w:w="281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25–55 ℃</w:t>
            </w:r>
          </w:p>
        </w:tc>
        <w:tc>
          <w:tcPr>
            <w:tcW w:type="dxa" w:w="156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± 1 ℃</w:t>
            </w:r>
          </w:p>
        </w:tc>
        <w:tc>
          <w:tcPr>
            <w:tcW w:type="dxa" w:w="2296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分相速率</w:t>
            </w:r>
          </w:p>
        </w:tc>
      </w:tr>
      <w:tr>
        <w:tc>
          <w:tcPr>
            <w:tcW w:type="dxa" w:w="1253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牵伸</w:t>
            </w:r>
          </w:p>
        </w:tc>
        <w:tc>
          <w:tcPr>
            <w:tcW w:type="dxa" w:w="177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喷头牵伸比</w:t>
            </w:r>
          </w:p>
        </w:tc>
        <w:tc>
          <w:tcPr>
            <w:tcW w:type="dxa" w:w="281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1.0–1.6</w:t>
            </w:r>
          </w:p>
        </w:tc>
        <w:tc>
          <w:tcPr>
            <w:tcW w:type="dxa" w:w="156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± 1%</w:t>
            </w:r>
          </w:p>
        </w:tc>
        <w:tc>
          <w:tcPr>
            <w:tcW w:type="dxa" w:w="2296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孔径、取向</w:t>
            </w:r>
          </w:p>
        </w:tc>
      </w:tr>
      <w:tr>
        <w:tc>
          <w:tcPr>
            <w:tcW w:type="dxa" w:w="1253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牵伸</w:t>
            </w:r>
          </w:p>
        </w:tc>
        <w:tc>
          <w:tcPr>
            <w:tcW w:type="dxa" w:w="177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总牵伸比</w:t>
            </w:r>
          </w:p>
        </w:tc>
        <w:tc>
          <w:tcPr>
            <w:tcW w:type="dxa" w:w="281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1.2–2.2</w:t>
            </w:r>
          </w:p>
        </w:tc>
        <w:tc>
          <w:tcPr>
            <w:tcW w:type="dxa" w:w="156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± 1%</w:t>
            </w:r>
          </w:p>
        </w:tc>
        <w:tc>
          <w:tcPr>
            <w:tcW w:type="dxa" w:w="2296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壁厚、强度</w:t>
            </w:r>
          </w:p>
        </w:tc>
      </w:tr>
      <w:tr>
        <w:tc>
          <w:tcPr>
            <w:tcW w:type="dxa" w:w="1253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卷绕</w:t>
            </w:r>
          </w:p>
        </w:tc>
        <w:tc>
          <w:tcPr>
            <w:tcW w:type="dxa" w:w="177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卷绕张力</w:t>
            </w:r>
          </w:p>
        </w:tc>
        <w:tc>
          <w:tcPr>
            <w:tcW w:type="dxa" w:w="281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按丝束规格设定</w:t>
            </w:r>
          </w:p>
        </w:tc>
        <w:tc>
          <w:tcPr>
            <w:tcW w:type="dxa" w:w="156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± 3%</w:t>
            </w:r>
          </w:p>
        </w:tc>
        <w:tc>
          <w:tcPr>
            <w:tcW w:type="dxa" w:w="2296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丝径均匀性</w:t>
            </w:r>
          </w:p>
        </w:tc>
      </w:tr>
    </w:tbl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上表的“控制精度”一列，是设备选型的直接依据。以凝固浴温度为例：若实际波动达 ±3 ℃，孔径分布将明显展宽，表现为白蛋白筛分超标；而 ±1 ℃ 的要求，意味着需要夹套循环 + 高精度温控模块，不能靠简单电加热。这类要求会直接反映在设备报价上，无法省。</w:t>
      </w:r>
    </w:p>
    <w:p>
      <w:pPr>
        <w:keepNext/>
        <w:spacing w:before="260" w:after="120"/>
      </w:pPr>
      <w:r>
        <w:rPr>
          <w:rFonts w:ascii="Segoe UI" w:hAnsi="Segoe UI" w:eastAsia="微软雅黑"/>
          <w:b/>
          <w:color w:val="C0621B"/>
          <w:sz w:val="25"/>
        </w:rPr>
        <w:t xml:space="preserve">3.2  </w:t>
      </w:r>
      <w:r>
        <w:rPr>
          <w:rFonts w:ascii="Segoe UI" w:hAnsi="Segoe UI" w:eastAsia="微软雅黑"/>
          <w:b/>
          <w:color w:val="1F4E79"/>
          <w:sz w:val="25"/>
        </w:rPr>
        <w:t>相分离路径的选择逻辑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所有纺丝参数的调整，最终都归结为一个问题：让相分离走“延迟分相”还是“瞬时分相”。这两条路径产出完全不同的膜形态。</w:t>
      </w: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595959"/>
          <w:sz w:val="19"/>
        </w:rPr>
        <w:t>表 3-2  两条相分离路径的对比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814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3742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瞬时分相（instantaneous）</w:t>
            </w:r>
          </w:p>
        </w:tc>
        <w:tc>
          <w:tcPr>
            <w:tcW w:type="dxa" w:w="3742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延迟分相（delayed）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触发条件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非溶剂快速渗入（凝固浴水含量高、温度高）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非溶剂缓慢渗入（凝固浴含溶剂、温度低、空气隙长）</w:t>
            </w:r>
          </w:p>
        </w:tc>
      </w:tr>
      <w:tr>
        <w:tc>
          <w:tcPr>
            <w:tcW w:type="dxa" w:w="181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成核与生长</w:t>
            </w:r>
          </w:p>
        </w:tc>
        <w:tc>
          <w:tcPr>
            <w:tcW w:type="dxa" w:w="3742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大量小核同时形成并长大</w:t>
            </w:r>
          </w:p>
        </w:tc>
        <w:tc>
          <w:tcPr>
            <w:tcW w:type="dxa" w:w="3742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少量核缓慢生长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截面形态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指状大孔（finger-like），皮层薄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海绵状均匀孔（sponge-like），皮层致密</w:t>
            </w:r>
          </w:p>
        </w:tc>
      </w:tr>
      <w:tr>
        <w:tc>
          <w:tcPr>
            <w:tcW w:type="dxa" w:w="181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通量</w:t>
            </w:r>
          </w:p>
        </w:tc>
        <w:tc>
          <w:tcPr>
            <w:tcW w:type="dxa" w:w="3742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高</w:t>
            </w:r>
          </w:p>
        </w:tc>
        <w:tc>
          <w:tcPr>
            <w:tcW w:type="dxa" w:w="3742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中—高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截留精度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低（易有贯穿缺陷）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高（筛分陡）</w:t>
            </w:r>
          </w:p>
        </w:tc>
      </w:tr>
      <w:tr>
        <w:tc>
          <w:tcPr>
            <w:tcW w:type="dxa" w:w="181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机械强度</w:t>
            </w:r>
          </w:p>
        </w:tc>
        <w:tc>
          <w:tcPr>
            <w:tcW w:type="dxa" w:w="3742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较弱</w:t>
            </w:r>
          </w:p>
        </w:tc>
        <w:tc>
          <w:tcPr>
            <w:tcW w:type="dxa" w:w="3742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较强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适用定位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低通量/中通量、对截留要求不苛刻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高通量、需严格控制白蛋白筛分</w:t>
            </w:r>
          </w:p>
        </w:tc>
      </w:tr>
    </w:tbl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本项目的产品定位是高通量膜，因此工艺基线应向“延迟分相”偏移：凝固浴中保留一定比例溶剂（如 20–30 wt% NMP）、温度控制在偏低区间（30–40 ℃）、空气隙取中长（15–20 cm）。这三个设置在方向上是一致的，可以叠加使用。</w:t>
      </w:r>
    </w:p>
    <w:p>
      <w:pPr>
        <w:spacing w:before="160" w:after="40"/>
        <w:ind w:left="113"/>
        <w:shd w:val="clear" w:color="auto" w:fill="FFF6E9"/>
        <w:pBdr>
          <w:left w:val="single" w:sz="16" w:space="6" w:color="C0621B"/>
        </w:pBdr>
      </w:pPr>
      <w:r>
        <w:rPr>
          <w:rFonts w:ascii="Segoe UI" w:hAnsi="Segoe UI" w:eastAsia="微软雅黑"/>
          <w:b/>
          <w:color w:val="C0621B"/>
          <w:sz w:val="19"/>
        </w:rPr>
        <w:t xml:space="preserve">  一个反直觉的调参经验  </w:t>
      </w:r>
    </w:p>
    <w:p>
      <w:pPr>
        <w:spacing w:after="180"/>
        <w:ind w:left="113"/>
        <w:jc w:val="both"/>
        <w:shd w:val="clear" w:color="auto" w:fill="FFF6E9"/>
        <w:pBdr>
          <w:left w:val="single" w:sz="16" w:space="6" w:color="C0621B"/>
        </w:pBdr>
      </w:pPr>
      <w:r>
        <w:rPr>
          <w:rFonts w:ascii="Segoe UI" w:hAnsi="Segoe UI" w:eastAsia="微软雅黑"/>
          <w:b w:val="0"/>
          <w:color w:val="333333"/>
          <w:sz w:val="19"/>
        </w:rPr>
        <w:t xml:space="preserve">  当白蛋白筛分超标时，第一反应通常是“把孔做小”（提高固含量）。但更有效的做法往往是“让皮层更致密”——即延长空气隙或提高凝固浴溶剂含量。前者牺牲通量，后者只牺牲一点通量却显著改善筛分陡度。理解这一点，是区分“会调参数”与“懂传质”的分水岭。</w:t>
      </w:r>
    </w:p>
    <w:p>
      <w:pPr>
        <w:keepNext/>
        <w:spacing w:before="260" w:after="120"/>
      </w:pPr>
      <w:r>
        <w:rPr>
          <w:rFonts w:ascii="Segoe UI" w:hAnsi="Segoe UI" w:eastAsia="微软雅黑"/>
          <w:b/>
          <w:color w:val="C0621B"/>
          <w:sz w:val="25"/>
        </w:rPr>
        <w:t xml:space="preserve">3.3  </w:t>
      </w:r>
      <w:r>
        <w:rPr>
          <w:rFonts w:ascii="Segoe UI" w:hAnsi="Segoe UI" w:eastAsia="微软雅黑"/>
          <w:b/>
          <w:color w:val="1F4E79"/>
          <w:sz w:val="25"/>
        </w:rPr>
        <w:t>后处理：水洗、干燥、卷绕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纺出的纤维仍含大量溶剂，必须经水洗萃取、干燥定型后才能成束。这三步看似辅助，实则决定残留与通量两项关键指标。</w:t>
      </w: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595959"/>
          <w:sz w:val="19"/>
        </w:rPr>
        <w:t>表 3-3  后处理工序参数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928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工序</w:t>
            </w:r>
          </w:p>
        </w:tc>
        <w:tc>
          <w:tcPr>
            <w:tcW w:type="dxa" w:w="2041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参数</w:t>
            </w:r>
          </w:p>
        </w:tc>
        <w:tc>
          <w:tcPr>
            <w:tcW w:type="dxa" w:w="3175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窗口</w:t>
            </w:r>
          </w:p>
        </w:tc>
        <w:tc>
          <w:tcPr>
            <w:tcW w:type="dxa" w:w="2494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目的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水洗（萃取）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水温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40–60 ℃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提高溶剂扩散系数</w:t>
            </w:r>
          </w:p>
        </w:tc>
      </w:tr>
      <w:tr>
        <w:tc>
          <w:tcPr>
            <w:tcW w:type="dxa" w:w="192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水洗</w:t>
            </w:r>
          </w:p>
        </w:tc>
        <w:tc>
          <w:tcPr>
            <w:tcW w:type="dxa" w:w="204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换水倍率</w:t>
            </w:r>
          </w:p>
        </w:tc>
        <w:tc>
          <w:tcPr>
            <w:tcW w:type="dxa" w:w="317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≥ 8 倍（体积/时间）</w:t>
            </w:r>
          </w:p>
        </w:tc>
        <w:tc>
          <w:tcPr>
            <w:tcW w:type="dxa" w:w="249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维持浓度梯度，防饱和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水洗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停留时间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10–30 min（多级串联）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残留降至限量以下</w:t>
            </w:r>
          </w:p>
        </w:tc>
      </w:tr>
      <w:tr>
        <w:tc>
          <w:tcPr>
            <w:tcW w:type="dxa" w:w="192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水洗</w:t>
            </w:r>
          </w:p>
        </w:tc>
        <w:tc>
          <w:tcPr>
            <w:tcW w:type="dxa" w:w="204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级数</w:t>
            </w:r>
          </w:p>
        </w:tc>
        <w:tc>
          <w:tcPr>
            <w:tcW w:type="dxa" w:w="317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3–5 级逆流</w:t>
            </w:r>
          </w:p>
        </w:tc>
        <w:tc>
          <w:tcPr>
            <w:tcW w:type="dxa" w:w="249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兼顾水耗与效率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干燥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方式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低温热风或真空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防止孔结构塌陷</w:t>
            </w:r>
          </w:p>
        </w:tc>
      </w:tr>
      <w:tr>
        <w:tc>
          <w:tcPr>
            <w:tcW w:type="dxa" w:w="192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干燥</w:t>
            </w:r>
          </w:p>
        </w:tc>
        <w:tc>
          <w:tcPr>
            <w:tcW w:type="dxa" w:w="204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温度</w:t>
            </w:r>
          </w:p>
        </w:tc>
        <w:tc>
          <w:tcPr>
            <w:tcW w:type="dxa" w:w="317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40–60 ℃（低于 PVP 玻璃化影响）</w:t>
            </w:r>
          </w:p>
        </w:tc>
        <w:tc>
          <w:tcPr>
            <w:tcW w:type="dxa" w:w="249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避免 PVP 迁移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干燥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张力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低张力自由收缩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避免孔径被拉伸变形</w:t>
            </w:r>
          </w:p>
        </w:tc>
      </w:tr>
      <w:tr>
        <w:tc>
          <w:tcPr>
            <w:tcW w:type="dxa" w:w="192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卷绕</w:t>
            </w:r>
          </w:p>
        </w:tc>
        <w:tc>
          <w:tcPr>
            <w:tcW w:type="dxa" w:w="204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张力</w:t>
            </w:r>
          </w:p>
        </w:tc>
        <w:tc>
          <w:tcPr>
            <w:tcW w:type="dxa" w:w="317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恒定，± 3%</w:t>
            </w:r>
          </w:p>
        </w:tc>
        <w:tc>
          <w:tcPr>
            <w:tcW w:type="dxa" w:w="249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丝径均匀</w:t>
            </w:r>
          </w:p>
        </w:tc>
      </w:tr>
    </w:tbl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水洗是残留控制的主战场，也是最容易被“省成本”省掉的地方。降低换水倍率或缩短停留时间，短期内看不出问题，但在注册检验的残留物研究中会直接暴露。本报告建议水洗段按“残留达标 + 30% 余量”设计，而非卡着限值设计——因为量产时的丝束密度、水温波动都会侵蚀余量。</w:t>
      </w:r>
    </w:p>
    <w:p>
      <w:r>
        <w:br w:type="page"/>
      </w:r>
    </w:p>
    <w:p>
      <w:pPr>
        <w:keepNext/>
        <w:spacing w:before="400" w:after="180"/>
        <w:pBdr>
          <w:bottom w:val="single" w:sz="14" w:space="6" w:color="1F3B57"/>
        </w:pBdr>
      </w:pPr>
      <w:r>
        <w:rPr>
          <w:rFonts w:ascii="Segoe UI" w:hAnsi="Segoe UI" w:eastAsia="微软雅黑"/>
          <w:b/>
          <w:color w:val="1F4E79"/>
          <w:sz w:val="34"/>
        </w:rPr>
        <w:t xml:space="preserve">04  </w:t>
      </w:r>
      <w:r>
        <w:rPr>
          <w:rFonts w:ascii="Segoe UI" w:hAnsi="Segoe UI" w:eastAsia="微软雅黑"/>
          <w:b/>
          <w:color w:val="1F3B57"/>
          <w:sz w:val="34"/>
        </w:rPr>
        <w:t>工艺验证路径：小试—中试—量产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从实验室配方到稳定量产，中间隔着的不是“放大”，而是“重建”。放大过程中，流场、传热、停留时间分布全部改变，实验室的最优参数在中试线上往往不成立。因此验证必须分三阶段递进，每阶段有明确的门禁。</w:t>
      </w:r>
    </w:p>
    <w:p>
      <w:pPr>
        <w:keepNext/>
        <w:spacing w:before="260" w:after="120"/>
      </w:pPr>
      <w:r>
        <w:rPr>
          <w:rFonts w:ascii="Segoe UI" w:hAnsi="Segoe UI" w:eastAsia="微软雅黑"/>
          <w:b/>
          <w:color w:val="C0621B"/>
          <w:sz w:val="25"/>
        </w:rPr>
        <w:t xml:space="preserve">4.1  </w:t>
      </w:r>
      <w:r>
        <w:rPr>
          <w:rFonts w:ascii="Segoe UI" w:hAnsi="Segoe UI" w:eastAsia="微软雅黑"/>
          <w:b/>
          <w:color w:val="1F4E79"/>
          <w:sz w:val="25"/>
        </w:rPr>
        <w:t>三阶段递进与里程碑</w:t>
      </w: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595959"/>
          <w:sz w:val="19"/>
        </w:rPr>
        <w:t>表 4-1  三阶段验证路径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814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1247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周期</w:t>
            </w:r>
          </w:p>
        </w:tc>
        <w:tc>
          <w:tcPr>
            <w:tcW w:type="dxa" w:w="1928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核心目标</w:t>
            </w:r>
          </w:p>
        </w:tc>
        <w:tc>
          <w:tcPr>
            <w:tcW w:type="dxa" w:w="2608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关键任务</w:t>
            </w:r>
          </w:p>
        </w:tc>
        <w:tc>
          <w:tcPr>
            <w:tcW w:type="dxa" w:w="1701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门禁标准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第一阶段</w:t>
              <w:br/>
              <w:t>小试（Lab）</w:t>
            </w:r>
          </w:p>
        </w:tc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M1–M6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打通配方与相分离路径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确定铸膜液配方；单孔/少孔纺丝；截面 SEM 表征；建立性能-参数映射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① 截面形态符合海绵状+致密皮层；② 尿素清除率≥260；③ 白蛋白筛分&lt;0.01</w:t>
            </w:r>
          </w:p>
        </w:tc>
      </w:tr>
      <w:tr>
        <w:tc>
          <w:tcPr>
            <w:tcW w:type="dxa" w:w="181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第二阶段</w:t>
              <w:br/>
              <w:t>中试（Pilot）</w:t>
            </w:r>
          </w:p>
        </w:tc>
        <w:tc>
          <w:tcPr>
            <w:tcW w:type="dxa" w:w="1247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M7–M14</w:t>
            </w:r>
          </w:p>
        </w:tc>
        <w:tc>
          <w:tcPr>
            <w:tcW w:type="dxa" w:w="192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多孔喷丝头放大与稳定性</w:t>
            </w:r>
          </w:p>
        </w:tc>
        <w:tc>
          <w:tcPr>
            <w:tcW w:type="dxa" w:w="260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喷丝头孔数放大；连续纺丝 72 h；成束灌封做成品；批间一致性统计</w:t>
            </w:r>
          </w:p>
        </w:tc>
        <w:tc>
          <w:tcPr>
            <w:tcW w:type="dxa" w:w="170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① 连续 72 h 无断丝停机；② 批间 CV&lt;8%；③ 成品通过 YY 0053 主要项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第三阶段</w:t>
              <w:br/>
              <w:t>量产（GMP）</w:t>
            </w:r>
          </w:p>
        </w:tc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M15–M24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工艺固化与注册批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SOP 固化；三批注册检验批；体系核查准备；货架期验证启动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① 连续三批全项合格；② 良率≥88%；③ 残留物达标</w:t>
            </w:r>
          </w:p>
        </w:tc>
      </w:tr>
    </w:tbl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三个阶段的时间分配需要说明：小试 6 个月看似长，但其中一半时间花在“等检测结果”上——纺出丝、做成束、灌封成器、测清除率，一轮完整反馈要 2–3 周。若一个月做两轮，6 个月只有 10–12 轮迭代机会。这个约束无法通过加人解决，只能通过提高每轮的信息量（DOE 而非单因素）来缓解。</w:t>
      </w:r>
    </w:p>
    <w:p>
      <w:pPr>
        <w:keepNext/>
        <w:spacing w:before="260" w:after="120"/>
      </w:pPr>
      <w:r>
        <w:rPr>
          <w:rFonts w:ascii="Segoe UI" w:hAnsi="Segoe UI" w:eastAsia="微软雅黑"/>
          <w:b/>
          <w:color w:val="C0621B"/>
          <w:sz w:val="25"/>
        </w:rPr>
        <w:t xml:space="preserve">4.2  </w:t>
      </w:r>
      <w:r>
        <w:rPr>
          <w:rFonts w:ascii="Segoe UI" w:hAnsi="Segoe UI" w:eastAsia="微软雅黑"/>
          <w:b/>
          <w:color w:val="1F4E79"/>
          <w:sz w:val="25"/>
        </w:rPr>
        <w:t>转产标准与门禁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M24 结束时，项目必须同时满足以下五项条件，方可批准转入规模化量产：</w:t>
      </w:r>
    </w:p>
    <w:p>
      <w:pPr>
        <w:spacing w:after="100"/>
        <w:ind w:left="454" w:hanging="454"/>
        <w:jc w:val="both"/>
      </w:pPr>
      <w:r>
        <w:rPr>
          <w:rFonts w:ascii="Segoe UI" w:hAnsi="Segoe UI" w:eastAsia="微软雅黑"/>
          <w:b/>
          <w:color w:val="C0621B"/>
          <w:sz w:val="20"/>
        </w:rPr>
        <w:t xml:space="preserve">01  </w:t>
      </w:r>
      <w:r>
        <w:rPr>
          <w:rFonts w:ascii="Segoe UI" w:hAnsi="Segoe UI" w:eastAsia="微软雅黑"/>
          <w:b/>
          <w:color w:val="1F3B57"/>
          <w:sz w:val="21"/>
        </w:rPr>
        <w:t>工艺文件固化：</w:t>
      </w:r>
      <w:r>
        <w:rPr>
          <w:rFonts w:ascii="Segoe UI" w:hAnsi="Segoe UI" w:eastAsia="微软雅黑"/>
          <w:sz w:val="21"/>
        </w:rPr>
        <w:t>覆盖全部工序的最终版 SOP 与工艺参数控制计划已批准发布，参数窗口有 DOE 数据支撑而非经验值。</w:t>
      </w:r>
    </w:p>
    <w:p>
      <w:pPr>
        <w:spacing w:after="100"/>
        <w:ind w:left="454" w:hanging="454"/>
        <w:jc w:val="both"/>
      </w:pPr>
      <w:r>
        <w:rPr>
          <w:rFonts w:ascii="Segoe UI" w:hAnsi="Segoe UI" w:eastAsia="微软雅黑"/>
          <w:b/>
          <w:color w:val="C0621B"/>
          <w:sz w:val="20"/>
        </w:rPr>
        <w:t xml:space="preserve">02  </w:t>
      </w:r>
      <w:r>
        <w:rPr>
          <w:rFonts w:ascii="Segoe UI" w:hAnsi="Segoe UI" w:eastAsia="微软雅黑"/>
          <w:b/>
          <w:color w:val="1F3B57"/>
          <w:sz w:val="21"/>
        </w:rPr>
        <w:t>质量体系就绪：</w:t>
      </w:r>
      <w:r>
        <w:rPr>
          <w:rFonts w:ascii="Segoe UI" w:hAnsi="Segoe UI" w:eastAsia="微软雅黑"/>
          <w:sz w:val="21"/>
        </w:rPr>
        <w:t>原料、过程、成品三级质量控制手册与检验作业指导书发布；批次追溯系统（MES）运行验证通过。</w:t>
      </w:r>
    </w:p>
    <w:p>
      <w:pPr>
        <w:spacing w:after="100"/>
        <w:ind w:left="454" w:hanging="454"/>
        <w:jc w:val="both"/>
      </w:pPr>
      <w:r>
        <w:rPr>
          <w:rFonts w:ascii="Segoe UI" w:hAnsi="Segoe UI" w:eastAsia="微软雅黑"/>
          <w:b/>
          <w:color w:val="C0621B"/>
          <w:sz w:val="20"/>
        </w:rPr>
        <w:t xml:space="preserve">03  </w:t>
      </w:r>
      <w:r>
        <w:rPr>
          <w:rFonts w:ascii="Segoe UI" w:hAnsi="Segoe UI" w:eastAsia="微软雅黑"/>
          <w:b/>
          <w:color w:val="1F3B57"/>
          <w:sz w:val="21"/>
        </w:rPr>
        <w:t>性能持续达标：</w:t>
      </w:r>
      <w:r>
        <w:rPr>
          <w:rFonts w:ascii="Segoe UI" w:hAnsi="Segoe UI" w:eastAsia="微软雅黑"/>
          <w:sz w:val="21"/>
        </w:rPr>
        <w:t>连续三个生产批次的核心性能（Kuf、尿素/β2-MG 清除率、白蛋白筛分、残留）100% 达标，综合良率 ≥ 88%。</w:t>
      </w:r>
    </w:p>
    <w:p>
      <w:pPr>
        <w:spacing w:after="100"/>
        <w:ind w:left="454" w:hanging="454"/>
        <w:jc w:val="both"/>
      </w:pPr>
      <w:r>
        <w:rPr>
          <w:rFonts w:ascii="Segoe UI" w:hAnsi="Segoe UI" w:eastAsia="微软雅黑"/>
          <w:b/>
          <w:color w:val="C0621B"/>
          <w:sz w:val="20"/>
        </w:rPr>
        <w:t xml:space="preserve">04  </w:t>
      </w:r>
      <w:r>
        <w:rPr>
          <w:rFonts w:ascii="Segoe UI" w:hAnsi="Segoe UI" w:eastAsia="微软雅黑"/>
          <w:b/>
          <w:color w:val="1F3B57"/>
          <w:sz w:val="21"/>
        </w:rPr>
        <w:t>注册资料就绪：</w:t>
      </w:r>
      <w:r>
        <w:rPr>
          <w:rFonts w:ascii="Segoe UI" w:hAnsi="Segoe UI" w:eastAsia="微软雅黑"/>
          <w:sz w:val="21"/>
        </w:rPr>
        <w:t>注册检验报告取得；生物学评价完成；灭菌确认与货架期方案获批；临床评价路径明确。</w:t>
      </w:r>
    </w:p>
    <w:p>
      <w:pPr>
        <w:spacing w:after="100"/>
        <w:ind w:left="454" w:hanging="454"/>
        <w:jc w:val="both"/>
      </w:pPr>
      <w:r>
        <w:rPr>
          <w:rFonts w:ascii="Segoe UI" w:hAnsi="Segoe UI" w:eastAsia="微软雅黑"/>
          <w:b/>
          <w:color w:val="C0621B"/>
          <w:sz w:val="20"/>
        </w:rPr>
        <w:t xml:space="preserve">05  </w:t>
      </w:r>
      <w:r>
        <w:rPr>
          <w:rFonts w:ascii="Segoe UI" w:hAnsi="Segoe UI" w:eastAsia="微软雅黑"/>
          <w:b/>
          <w:color w:val="1F3B57"/>
          <w:sz w:val="21"/>
        </w:rPr>
        <w:t>知识产权合规：</w:t>
      </w:r>
      <w:r>
        <w:rPr>
          <w:rFonts w:ascii="Segoe UI" w:hAnsi="Segoe UI" w:eastAsia="微软雅黑"/>
          <w:sz w:val="21"/>
        </w:rPr>
        <w:t>核心工艺专利申请 ≥ 2 项；FTO（自由实施）分析确认无重大侵权风险。</w:t>
      </w:r>
    </w:p>
    <w:p>
      <w:pPr>
        <w:spacing w:before="160" w:after="40"/>
        <w:ind w:left="113"/>
        <w:shd w:val="clear" w:color="auto" w:fill="FFF6E9"/>
        <w:pBdr>
          <w:left w:val="single" w:sz="16" w:space="6" w:color="C0621B"/>
        </w:pBdr>
      </w:pPr>
      <w:r>
        <w:rPr>
          <w:rFonts w:ascii="Segoe UI" w:hAnsi="Segoe UI" w:eastAsia="微软雅黑"/>
          <w:b/>
          <w:color w:val="C0621B"/>
          <w:sz w:val="19"/>
        </w:rPr>
        <w:t xml:space="preserve">  良率的阶梯设计  </w:t>
      </w:r>
    </w:p>
    <w:p>
      <w:pPr>
        <w:spacing w:after="180"/>
        <w:ind w:left="113"/>
        <w:jc w:val="both"/>
        <w:shd w:val="clear" w:color="auto" w:fill="FFF6E9"/>
        <w:pBdr>
          <w:left w:val="single" w:sz="16" w:space="6" w:color="C0621B"/>
        </w:pBdr>
      </w:pPr>
      <w:r>
        <w:rPr>
          <w:rFonts w:ascii="Segoe UI" w:hAnsi="Segoe UI" w:eastAsia="微软雅黑"/>
          <w:b w:val="0"/>
          <w:color w:val="333333"/>
          <w:sz w:val="19"/>
        </w:rPr>
        <w:t xml:space="preserve">  本项目按 82% → 88% → 93% 设定三阶段良率目标，而非一步到位。理由很实际：小试线的良率天然低（手工操作多），中试线反映真实工艺能力，量产线靠自动化与统计过程控制再提一档。把量产目标写进小试门禁，只会导致造假。</w:t>
      </w:r>
    </w:p>
    <w:p>
      <w:r>
        <w:br w:type="page"/>
      </w:r>
    </w:p>
    <w:p>
      <w:pPr>
        <w:keepNext/>
        <w:spacing w:before="400" w:after="180"/>
        <w:pBdr>
          <w:bottom w:val="single" w:sz="14" w:space="6" w:color="1F3B57"/>
        </w:pBdr>
      </w:pPr>
      <w:r>
        <w:rPr>
          <w:rFonts w:ascii="Segoe UI" w:hAnsi="Segoe UI" w:eastAsia="微软雅黑"/>
          <w:b/>
          <w:color w:val="1F4E79"/>
          <w:sz w:val="34"/>
        </w:rPr>
        <w:t xml:space="preserve">05  </w:t>
      </w:r>
      <w:r>
        <w:rPr>
          <w:rFonts w:ascii="Segoe UI" w:hAnsi="Segoe UI" w:eastAsia="微软雅黑"/>
          <w:b/>
          <w:color w:val="1F3B57"/>
          <w:sz w:val="34"/>
        </w:rPr>
        <w:t>质量控制标准与检测方案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透析器的质量控制不是“成品抽检”，而是覆盖原料—过程—成品的三级防御。本项目的质量体系按此架构设计，并与 MES 集成实现全批次追溯。</w:t>
      </w:r>
    </w:p>
    <w:p>
      <w:pPr>
        <w:keepNext/>
        <w:spacing w:before="260" w:after="120"/>
      </w:pPr>
      <w:r>
        <w:rPr>
          <w:rFonts w:ascii="Segoe UI" w:hAnsi="Segoe UI" w:eastAsia="微软雅黑"/>
          <w:b/>
          <w:color w:val="C0621B"/>
          <w:sz w:val="25"/>
        </w:rPr>
        <w:t xml:space="preserve">5.1  </w:t>
      </w:r>
      <w:r>
        <w:rPr>
          <w:rFonts w:ascii="Segoe UI" w:hAnsi="Segoe UI" w:eastAsia="微软雅黑"/>
          <w:b/>
          <w:color w:val="1F4E79"/>
          <w:sz w:val="25"/>
        </w:rPr>
        <w:t>三级质量防御体系</w:t>
      </w: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595959"/>
          <w:sz w:val="19"/>
        </w:rPr>
        <w:t>表 5-1  三级质量防御架构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361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2041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3175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核心手段</w:t>
            </w:r>
          </w:p>
        </w:tc>
        <w:tc>
          <w:tcPr>
            <w:tcW w:type="dxa" w:w="3061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放行规则</w:t>
            </w:r>
          </w:p>
        </w:tc>
      </w:tr>
      <w:tr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7"/>
              </w:rPr>
              <w:t>第一级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原料进厂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全项检验 + 供应商 COA 复核</w:t>
            </w:r>
          </w:p>
        </w:tc>
        <w:tc>
          <w:tcPr>
            <w:tcW w:type="dxa" w:w="306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单项否决制：任一关键项不合格整批退货</w:t>
            </w:r>
          </w:p>
        </w:tc>
      </w:tr>
      <w:tr>
        <w:tc>
          <w:tcPr>
            <w:tcW w:type="dxa" w:w="136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7"/>
              </w:rPr>
              <w:t>第二级</w:t>
            </w:r>
          </w:p>
        </w:tc>
        <w:tc>
          <w:tcPr>
            <w:tcW w:type="dxa" w:w="204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过程（在线）</w:t>
            </w:r>
          </w:p>
        </w:tc>
        <w:tc>
          <w:tcPr>
            <w:tcW w:type="dxa" w:w="317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在线监测 + SPC 控制图</w:t>
            </w:r>
          </w:p>
        </w:tc>
        <w:tc>
          <w:tcPr>
            <w:tcW w:type="dxa" w:w="306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超预警线（1/3 容差）报警；超控制线停机</w:t>
            </w:r>
          </w:p>
        </w:tc>
      </w:tr>
      <w:tr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7"/>
              </w:rPr>
              <w:t>第三级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成品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全性能检测 + 无菌/内毒素</w:t>
            </w:r>
          </w:p>
        </w:tc>
        <w:tc>
          <w:tcPr>
            <w:tcW w:type="dxa" w:w="306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全项合格方可放行；任一项不合格整批隔离</w:t>
            </w:r>
          </w:p>
        </w:tc>
      </w:tr>
    </w:tbl>
    <w:p>
      <w:pPr>
        <w:keepNext/>
        <w:spacing w:before="260" w:after="120"/>
      </w:pPr>
      <w:r>
        <w:rPr>
          <w:rFonts w:ascii="Segoe UI" w:hAnsi="Segoe UI" w:eastAsia="微软雅黑"/>
          <w:b/>
          <w:color w:val="C0621B"/>
          <w:sz w:val="25"/>
        </w:rPr>
        <w:t xml:space="preserve">5.2  </w:t>
      </w:r>
      <w:r>
        <w:rPr>
          <w:rFonts w:ascii="Segoe UI" w:hAnsi="Segoe UI" w:eastAsia="微软雅黑"/>
          <w:b/>
          <w:color w:val="1F4E79"/>
          <w:sz w:val="25"/>
        </w:rPr>
        <w:t>原料、过程、成品检测</w:t>
      </w:r>
    </w:p>
    <w:p>
      <w:pPr>
        <w:keepNext/>
        <w:spacing w:before="180" w:after="80"/>
      </w:pPr>
      <w:r>
        <w:rPr>
          <w:rFonts w:ascii="Segoe UI" w:hAnsi="Segoe UI" w:eastAsia="微软雅黑"/>
          <w:b/>
          <w:color w:val="1F3B57"/>
          <w:sz w:val="22"/>
        </w:rPr>
        <w:t>（1）原料进厂检验</w:t>
      </w: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595959"/>
          <w:sz w:val="19"/>
        </w:rPr>
        <w:t>表 5-2  关键原料检验项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928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物料</w:t>
            </w:r>
          </w:p>
        </w:tc>
        <w:tc>
          <w:tcPr>
            <w:tcW w:type="dxa" w:w="2154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检验项</w:t>
            </w:r>
          </w:p>
        </w:tc>
        <w:tc>
          <w:tcPr>
            <w:tcW w:type="dxa" w:w="2154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2835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接收标准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聚砜/聚醚砜</w:t>
            </w:r>
          </w:p>
        </w:tc>
        <w:tc>
          <w:tcPr>
            <w:tcW w:type="dxa" w:w="215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分子量及分布</w:t>
            </w:r>
          </w:p>
        </w:tc>
        <w:tc>
          <w:tcPr>
            <w:tcW w:type="dxa" w:w="215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GPC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符合牌号规格，PDI 受控</w:t>
            </w:r>
          </w:p>
        </w:tc>
      </w:tr>
      <w:tr>
        <w:tc>
          <w:tcPr>
            <w:tcW w:type="dxa" w:w="192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聚砜/聚醚砜</w:t>
            </w:r>
          </w:p>
        </w:tc>
        <w:tc>
          <w:tcPr>
            <w:tcW w:type="dxa" w:w="215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含水率</w:t>
            </w:r>
          </w:p>
        </w:tc>
        <w:tc>
          <w:tcPr>
            <w:tcW w:type="dxa" w:w="215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卡尔费休法</w:t>
            </w:r>
          </w:p>
        </w:tc>
        <w:tc>
          <w:tcPr>
            <w:tcW w:type="dxa" w:w="283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&lt; 0.1%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聚砜/聚醚砜</w:t>
            </w:r>
          </w:p>
        </w:tc>
        <w:tc>
          <w:tcPr>
            <w:tcW w:type="dxa" w:w="215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外观与色度</w:t>
            </w:r>
          </w:p>
        </w:tc>
        <w:tc>
          <w:tcPr>
            <w:tcW w:type="dxa" w:w="215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目视/分光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无变色、无杂质</w:t>
            </w:r>
          </w:p>
        </w:tc>
      </w:tr>
      <w:tr>
        <w:tc>
          <w:tcPr>
            <w:tcW w:type="dxa" w:w="192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PVP</w:t>
            </w:r>
          </w:p>
        </w:tc>
        <w:tc>
          <w:tcPr>
            <w:tcW w:type="dxa" w:w="215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K 值</w:t>
            </w:r>
          </w:p>
        </w:tc>
        <w:tc>
          <w:tcPr>
            <w:tcW w:type="dxa" w:w="215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黏度法</w:t>
            </w:r>
          </w:p>
        </w:tc>
        <w:tc>
          <w:tcPr>
            <w:tcW w:type="dxa" w:w="283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符合牌号（如 K30/K90）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PVP</w:t>
            </w:r>
          </w:p>
        </w:tc>
        <w:tc>
          <w:tcPr>
            <w:tcW w:type="dxa" w:w="215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残留 VP 单体</w:t>
            </w:r>
          </w:p>
        </w:tc>
        <w:tc>
          <w:tcPr>
            <w:tcW w:type="dxa" w:w="215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HPLC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低于限值</w:t>
            </w:r>
          </w:p>
        </w:tc>
      </w:tr>
      <w:tr>
        <w:tc>
          <w:tcPr>
            <w:tcW w:type="dxa" w:w="192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溶剂（DMAc/NMP）</w:t>
            </w:r>
          </w:p>
        </w:tc>
        <w:tc>
          <w:tcPr>
            <w:tcW w:type="dxa" w:w="215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纯度与含水量</w:t>
            </w:r>
          </w:p>
        </w:tc>
        <w:tc>
          <w:tcPr>
            <w:tcW w:type="dxa" w:w="215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GC / 卡尔费休</w:t>
            </w:r>
          </w:p>
        </w:tc>
        <w:tc>
          <w:tcPr>
            <w:tcW w:type="dxa" w:w="283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纯度≥99.5%，水&lt;0.05%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壳体料（PC/PP）</w:t>
            </w:r>
          </w:p>
        </w:tc>
        <w:tc>
          <w:tcPr>
            <w:tcW w:type="dxa" w:w="215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熔指、色差</w:t>
            </w:r>
          </w:p>
        </w:tc>
        <w:tc>
          <w:tcPr>
            <w:tcW w:type="dxa" w:w="215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熔指仪/色差仪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符合医用级规格</w:t>
            </w:r>
          </w:p>
        </w:tc>
      </w:tr>
      <w:tr>
        <w:tc>
          <w:tcPr>
            <w:tcW w:type="dxa" w:w="192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封胶（PU）</w:t>
            </w:r>
          </w:p>
        </w:tc>
        <w:tc>
          <w:tcPr>
            <w:tcW w:type="dxa" w:w="215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NCO 含量、黏度</w:t>
            </w:r>
          </w:p>
        </w:tc>
        <w:tc>
          <w:tcPr>
            <w:tcW w:type="dxa" w:w="215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滴定/旋转黏度计</w:t>
            </w:r>
          </w:p>
        </w:tc>
        <w:tc>
          <w:tcPr>
            <w:tcW w:type="dxa" w:w="283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在有效期内，配比可计量</w:t>
            </w:r>
          </w:p>
        </w:tc>
      </w:tr>
    </w:tbl>
    <w:p>
      <w:pPr>
        <w:keepNext/>
        <w:spacing w:before="180" w:after="80"/>
      </w:pPr>
      <w:r>
        <w:rPr>
          <w:rFonts w:ascii="Segoe UI" w:hAnsi="Segoe UI" w:eastAsia="微软雅黑"/>
          <w:b/>
          <w:color w:val="1F3B57"/>
          <w:sz w:val="22"/>
        </w:rPr>
        <w:t>（2）关键工序在线监控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在线监控的价值在于“把事后检验变成事中预防”。以下五个监控点是本项目的重点：</w:t>
      </w: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595959"/>
          <w:sz w:val="19"/>
        </w:rPr>
        <w:t>表 5-3  在线监控点与闭环逻辑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701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监控点</w:t>
            </w:r>
          </w:p>
        </w:tc>
        <w:tc>
          <w:tcPr>
            <w:tcW w:type="dxa" w:w="2268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监控参数</w:t>
            </w:r>
          </w:p>
        </w:tc>
        <w:tc>
          <w:tcPr>
            <w:tcW w:type="dxa" w:w="2608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手段</w:t>
            </w:r>
          </w:p>
        </w:tc>
        <w:tc>
          <w:tcPr>
            <w:tcW w:type="dxa" w:w="2835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闭环动作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铸膜液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黏度/温度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在线黏度计、铂电阻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偏离则调整温度或补加溶剂</w:t>
            </w:r>
          </w:p>
        </w:tc>
      </w:tr>
      <w:tr>
        <w:tc>
          <w:tcPr>
            <w:tcW w:type="dxa" w:w="170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喷丝头</w:t>
            </w:r>
          </w:p>
        </w:tc>
        <w:tc>
          <w:tcPr>
            <w:tcW w:type="dxa" w:w="226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挤出压力</w:t>
            </w:r>
          </w:p>
        </w:tc>
        <w:tc>
          <w:tcPr>
            <w:tcW w:type="dxa" w:w="260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压力传感器</w:t>
            </w:r>
          </w:p>
        </w:tc>
        <w:tc>
          <w:tcPr>
            <w:tcW w:type="dxa" w:w="283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压力异常升高→提示过滤堵塞，停机换网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空气隙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温湿度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温湿度传感器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联动空调与加湿，维持窗口</w:t>
            </w:r>
          </w:p>
        </w:tc>
      </w:tr>
      <w:tr>
        <w:tc>
          <w:tcPr>
            <w:tcW w:type="dxa" w:w="170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凝固浴</w:t>
            </w:r>
          </w:p>
        </w:tc>
        <w:tc>
          <w:tcPr>
            <w:tcW w:type="dxa" w:w="226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浓度与温度</w:t>
            </w:r>
          </w:p>
        </w:tc>
        <w:tc>
          <w:tcPr>
            <w:tcW w:type="dxa" w:w="260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在线折光/密度、铂电阻</w:t>
            </w:r>
          </w:p>
        </w:tc>
        <w:tc>
          <w:tcPr>
            <w:tcW w:type="dxa" w:w="283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自动补加溶剂或水，维持配比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纤维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丝径（激光测径）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激光衍射测径仪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反馈调节牵伸比与泵速</w:t>
            </w:r>
          </w:p>
        </w:tc>
      </w:tr>
    </w:tbl>
    <w:p>
      <w:pPr>
        <w:keepNext/>
        <w:spacing w:before="180" w:after="80"/>
      </w:pPr>
      <w:r>
        <w:rPr>
          <w:rFonts w:ascii="Segoe UI" w:hAnsi="Segoe UI" w:eastAsia="微软雅黑"/>
          <w:b/>
          <w:color w:val="1F3B57"/>
          <w:sz w:val="22"/>
        </w:rPr>
        <w:t>（3）成品出厂全项检测</w:t>
      </w: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595959"/>
          <w:sz w:val="19"/>
        </w:rPr>
        <w:t>表 5-4  成品检测项目与判定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361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2494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检测项</w:t>
            </w:r>
          </w:p>
        </w:tc>
        <w:tc>
          <w:tcPr>
            <w:tcW w:type="dxa" w:w="2835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2721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判定基准</w:t>
            </w:r>
          </w:p>
        </w:tc>
      </w:tr>
      <w:tr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性能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尿素/肌酐/磷清除率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标准工况下的浓度差法</w:t>
            </w:r>
          </w:p>
        </w:tc>
        <w:tc>
          <w:tcPr>
            <w:tcW w:type="dxa" w:w="272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符合产品技术要求声明值</w:t>
            </w:r>
          </w:p>
        </w:tc>
      </w:tr>
      <w:tr>
        <w:tc>
          <w:tcPr>
            <w:tcW w:type="dxa" w:w="136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性能</w:t>
            </w:r>
          </w:p>
        </w:tc>
        <w:tc>
          <w:tcPr>
            <w:tcW w:type="dxa" w:w="249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β2-MG 清除率</w:t>
            </w:r>
          </w:p>
        </w:tc>
        <w:tc>
          <w:tcPr>
            <w:tcW w:type="dxa" w:w="283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同上（高通量必检）</w:t>
            </w:r>
          </w:p>
        </w:tc>
        <w:tc>
          <w:tcPr>
            <w:tcW w:type="dxa" w:w="272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≥ 声明值</w:t>
            </w:r>
          </w:p>
        </w:tc>
      </w:tr>
      <w:tr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性能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Kuf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系列跨膜压测滤过量</w:t>
            </w:r>
          </w:p>
        </w:tc>
        <w:tc>
          <w:tcPr>
            <w:tcW w:type="dxa" w:w="272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在声明范围内</w:t>
            </w:r>
          </w:p>
        </w:tc>
      </w:tr>
      <w:tr>
        <w:tc>
          <w:tcPr>
            <w:tcW w:type="dxa" w:w="136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性能</w:t>
            </w:r>
          </w:p>
        </w:tc>
        <w:tc>
          <w:tcPr>
            <w:tcW w:type="dxa" w:w="249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白蛋白筛分</w:t>
            </w:r>
          </w:p>
        </w:tc>
        <w:tc>
          <w:tcPr>
            <w:tcW w:type="dxa" w:w="283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滤过液白蛋白/血侧白蛋白</w:t>
            </w:r>
          </w:p>
        </w:tc>
        <w:tc>
          <w:tcPr>
            <w:tcW w:type="dxa" w:w="272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&lt; 0.001（高通量）</w:t>
            </w:r>
          </w:p>
        </w:tc>
      </w:tr>
      <w:tr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安全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血室容积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称重/容积法</w:t>
            </w:r>
          </w:p>
        </w:tc>
        <w:tc>
          <w:tcPr>
            <w:tcW w:type="dxa" w:w="272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符合声明</w:t>
            </w:r>
          </w:p>
        </w:tc>
      </w:tr>
      <w:tr>
        <w:tc>
          <w:tcPr>
            <w:tcW w:type="dxa" w:w="136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安全</w:t>
            </w:r>
          </w:p>
        </w:tc>
        <w:tc>
          <w:tcPr>
            <w:tcW w:type="dxa" w:w="249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密合性</w:t>
            </w:r>
          </w:p>
        </w:tc>
        <w:tc>
          <w:tcPr>
            <w:tcW w:type="dxa" w:w="283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气压衰减或水压</w:t>
            </w:r>
          </w:p>
        </w:tc>
        <w:tc>
          <w:tcPr>
            <w:tcW w:type="dxa" w:w="272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无泄漏（100% 检）</w:t>
            </w:r>
          </w:p>
        </w:tc>
      </w:tr>
      <w:tr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安全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残留溶剂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GC-MS / HPLC-MS</w:t>
            </w:r>
          </w:p>
        </w:tc>
        <w:tc>
          <w:tcPr>
            <w:tcW w:type="dxa" w:w="272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低于毒理学限值</w:t>
            </w:r>
          </w:p>
        </w:tc>
      </w:tr>
      <w:tr>
        <w:tc>
          <w:tcPr>
            <w:tcW w:type="dxa" w:w="136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无菌</w:t>
            </w:r>
          </w:p>
        </w:tc>
        <w:tc>
          <w:tcPr>
            <w:tcW w:type="dxa" w:w="249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无菌检验</w:t>
            </w:r>
          </w:p>
        </w:tc>
        <w:tc>
          <w:tcPr>
            <w:tcW w:type="dxa" w:w="283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薄膜过滤法</w:t>
            </w:r>
          </w:p>
        </w:tc>
        <w:tc>
          <w:tcPr>
            <w:tcW w:type="dxa" w:w="272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无菌</w:t>
            </w:r>
          </w:p>
        </w:tc>
      </w:tr>
      <w:tr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无菌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细菌内毒素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凝胶法/光度法</w:t>
            </w:r>
          </w:p>
        </w:tc>
        <w:tc>
          <w:tcPr>
            <w:tcW w:type="dxa" w:w="272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&lt; 限值（如 0.5 EU/mL）</w:t>
            </w:r>
          </w:p>
        </w:tc>
      </w:tr>
      <w:tr>
        <w:tc>
          <w:tcPr>
            <w:tcW w:type="dxa" w:w="136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包装</w:t>
            </w:r>
          </w:p>
        </w:tc>
        <w:tc>
          <w:tcPr>
            <w:tcW w:type="dxa" w:w="249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密封完整性</w:t>
            </w:r>
          </w:p>
        </w:tc>
        <w:tc>
          <w:tcPr>
            <w:tcW w:type="dxa" w:w="283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染色渗透/气泡法</w:t>
            </w:r>
          </w:p>
        </w:tc>
        <w:tc>
          <w:tcPr>
            <w:tcW w:type="dxa" w:w="272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无泄漏</w:t>
            </w:r>
          </w:p>
        </w:tc>
      </w:tr>
    </w:tbl>
    <w:p>
      <w:pPr>
        <w:keepNext/>
        <w:spacing w:before="260" w:after="120"/>
      </w:pPr>
      <w:r>
        <w:rPr>
          <w:rFonts w:ascii="Segoe UI" w:hAnsi="Segoe UI" w:eastAsia="微软雅黑"/>
          <w:b/>
          <w:color w:val="C0621B"/>
          <w:sz w:val="25"/>
        </w:rPr>
        <w:t xml:space="preserve">5.3  </w:t>
      </w:r>
      <w:r>
        <w:rPr>
          <w:rFonts w:ascii="Segoe UI" w:hAnsi="Segoe UI" w:eastAsia="微软雅黑"/>
          <w:b/>
          <w:color w:val="1F4E79"/>
          <w:sz w:val="25"/>
        </w:rPr>
        <w:t>失控预警与 CAPA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质量体系的有效性，体现在“发现问题有多快、追溯有多准”。本项目按以下流程设计 CAPA：</w:t>
      </w:r>
    </w:p>
    <w:p>
      <w:pPr>
        <w:spacing w:after="80"/>
        <w:ind w:left="454" w:hanging="454"/>
      </w:pPr>
      <w:r>
        <w:rPr>
          <w:rFonts w:ascii="Segoe UI" w:hAnsi="Segoe UI" w:eastAsia="微软雅黑"/>
          <w:b/>
          <w:color w:val="C0621B"/>
          <w:sz w:val="17"/>
        </w:rPr>
        <w:t xml:space="preserve">STEP 1  </w:t>
      </w:r>
      <w:r>
        <w:rPr>
          <w:rFonts w:ascii="Segoe UI" w:hAnsi="Segoe UI" w:eastAsia="微软雅黑"/>
          <w:sz w:val="21"/>
        </w:rPr>
        <w:t>自动预警与停机：任一在线参数触及控制线，系统报警并联锁停机，防止批量不合格品流出。</w:t>
      </w:r>
    </w:p>
    <w:p>
      <w:pPr>
        <w:spacing w:after="80"/>
        <w:ind w:left="454" w:hanging="454"/>
      </w:pPr>
      <w:r>
        <w:rPr>
          <w:rFonts w:ascii="Segoe UI" w:hAnsi="Segoe UI" w:eastAsia="微软雅黑"/>
          <w:b/>
          <w:color w:val="C0621B"/>
          <w:sz w:val="17"/>
        </w:rPr>
        <w:t xml:space="preserve">STEP 2  </w:t>
      </w:r>
      <w:r>
        <w:rPr>
          <w:rFonts w:ascii="Segoe UI" w:hAnsi="Segoe UI" w:eastAsia="微软雅黑"/>
          <w:sz w:val="21"/>
        </w:rPr>
        <w:t>偏差分析与追溯：通过 MES 立即定位该批次所用原料批号、各工序参数记录、操作人员与设备状态。</w:t>
      </w:r>
    </w:p>
    <w:p>
      <w:pPr>
        <w:spacing w:after="80"/>
        <w:ind w:left="454" w:hanging="454"/>
      </w:pPr>
      <w:r>
        <w:rPr>
          <w:rFonts w:ascii="Segoe UI" w:hAnsi="Segoe UI" w:eastAsia="微软雅黑"/>
          <w:b/>
          <w:color w:val="C0621B"/>
          <w:sz w:val="17"/>
        </w:rPr>
        <w:t xml:space="preserve">STEP 3  </w:t>
      </w:r>
      <w:r>
        <w:rPr>
          <w:rFonts w:ascii="Segoe UI" w:hAnsi="Segoe UI" w:eastAsia="微软雅黑"/>
          <w:sz w:val="21"/>
        </w:rPr>
        <w:t>根本原因调查：按“人、机、料、法、环”五要素排查，重点怀疑温度传感器漂移、泵计量误差、原料批次波动。</w:t>
      </w:r>
    </w:p>
    <w:p>
      <w:pPr>
        <w:spacing w:after="80"/>
        <w:ind w:left="454" w:hanging="454"/>
      </w:pPr>
      <w:r>
        <w:rPr>
          <w:rFonts w:ascii="Segoe UI" w:hAnsi="Segoe UI" w:eastAsia="微软雅黑"/>
          <w:b/>
          <w:color w:val="C0621B"/>
          <w:sz w:val="17"/>
        </w:rPr>
        <w:t xml:space="preserve">STEP 4  </w:t>
      </w:r>
      <w:r>
        <w:rPr>
          <w:rFonts w:ascii="Segoe UI" w:hAnsi="Segoe UI" w:eastAsia="微软雅黑"/>
          <w:sz w:val="21"/>
        </w:rPr>
        <w:t>纠正与预防：调整、维修或更换，并对根因制定预防措施（如缩短校准周期、加严供应商指标）。</w:t>
      </w:r>
    </w:p>
    <w:p>
      <w:pPr>
        <w:spacing w:after="80"/>
        <w:ind w:left="454" w:hanging="454"/>
      </w:pPr>
      <w:r>
        <w:rPr>
          <w:rFonts w:ascii="Segoe UI" w:hAnsi="Segoe UI" w:eastAsia="微软雅黑"/>
          <w:b/>
          <w:color w:val="C0621B"/>
          <w:sz w:val="17"/>
        </w:rPr>
        <w:t xml:space="preserve">STEP 5  </w:t>
      </w:r>
      <w:r>
        <w:rPr>
          <w:rFonts w:ascii="Segoe UI" w:hAnsi="Segoe UI" w:eastAsia="微软雅黑"/>
          <w:sz w:val="21"/>
        </w:rPr>
        <w:t>验证与关闭：措施实施后连续 3–5 批合格，方可关闭偏差。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洁净环境要求：纺丝段按 ISO 8 级控制，灌封、切端、包装按 ISO 7 级控制；与血液接触的组件在 ISO 7 级下完成终装配。压缩空气需除油除水，露点 ≤ -40 ℃。这些在厂房设计阶段就要锁定，后期改造成本极高。</w:t>
      </w:r>
    </w:p>
    <w:p>
      <w:r>
        <w:br w:type="page"/>
      </w:r>
    </w:p>
    <w:p>
      <w:pPr>
        <w:keepNext/>
        <w:spacing w:before="400" w:after="180"/>
        <w:pBdr>
          <w:bottom w:val="single" w:sz="14" w:space="6" w:color="1F3B57"/>
        </w:pBdr>
      </w:pPr>
      <w:r>
        <w:rPr>
          <w:rFonts w:ascii="Segoe UI" w:hAnsi="Segoe UI" w:eastAsia="微软雅黑"/>
          <w:b/>
          <w:color w:val="1F4E79"/>
          <w:sz w:val="34"/>
        </w:rPr>
        <w:t xml:space="preserve">06  </w:t>
      </w:r>
      <w:r>
        <w:rPr>
          <w:rFonts w:ascii="Segoe UI" w:hAnsi="Segoe UI" w:eastAsia="微软雅黑"/>
          <w:b/>
          <w:color w:val="1F3B57"/>
          <w:sz w:val="34"/>
        </w:rPr>
        <w:t>核心设备技术规格与选型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透析膜产线的设备投资高度集中：纺丝线占总投资的近一半，且其精度直接决定产品上限。这一章给出可写入采购合同的技术规格。</w:t>
      </w:r>
    </w:p>
    <w:p>
      <w:pPr>
        <w:keepNext/>
        <w:spacing w:before="260" w:after="120"/>
      </w:pPr>
      <w:r>
        <w:rPr>
          <w:rFonts w:ascii="Segoe UI" w:hAnsi="Segoe UI" w:eastAsia="微软雅黑"/>
          <w:b/>
          <w:color w:val="C0621B"/>
          <w:sz w:val="25"/>
        </w:rPr>
        <w:t xml:space="preserve">6.1  </w:t>
      </w:r>
      <w:r>
        <w:rPr>
          <w:rFonts w:ascii="Segoe UI" w:hAnsi="Segoe UI" w:eastAsia="微软雅黑"/>
          <w:b/>
          <w:color w:val="1F4E79"/>
          <w:sz w:val="25"/>
        </w:rPr>
        <w:t>纺丝线与喷丝头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纺丝线是一条连续化装置，由供料、计量、过滤、喷丝、凝固、水洗、干燥、卷绕八个单元串联。任何一段的波动都会传递给下游，因此“整线联动”比“单机精度”更重要。</w:t>
      </w: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595959"/>
          <w:sz w:val="19"/>
        </w:rPr>
        <w:t>表 6-1  纺丝线关键单元技术规格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701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单元</w:t>
            </w:r>
          </w:p>
        </w:tc>
        <w:tc>
          <w:tcPr>
            <w:tcW w:type="dxa" w:w="3175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技术规格要求</w:t>
            </w:r>
          </w:p>
        </w:tc>
        <w:tc>
          <w:tcPr>
            <w:tcW w:type="dxa" w:w="2608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精度/关键指标</w:t>
            </w:r>
          </w:p>
        </w:tc>
        <w:tc>
          <w:tcPr>
            <w:tcW w:type="dxa" w:w="1928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不可妥协项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铸膜液供料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恒温储罐 + 搅拌 + 真空脱泡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温度 ±1 ℃；真空 ≤ -0.09 MPa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温控精度</w:t>
            </w:r>
          </w:p>
        </w:tc>
      </w:tr>
      <w:tr>
        <w:tc>
          <w:tcPr>
            <w:tcW w:type="dxa" w:w="170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计量泵</w:t>
            </w:r>
          </w:p>
        </w:tc>
        <w:tc>
          <w:tcPr>
            <w:tcW w:type="dxa" w:w="317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齿轮泵或螺杆泵，双组分配比</w:t>
            </w:r>
          </w:p>
        </w:tc>
        <w:tc>
          <w:tcPr>
            <w:tcW w:type="dxa" w:w="260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流量精度 ±0.5%</w:t>
            </w:r>
          </w:p>
        </w:tc>
        <w:tc>
          <w:tcPr>
            <w:tcW w:type="dxa" w:w="192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流量线性度与重复性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过滤单元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逐级烧结滤芯（5–20 µm）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压差在线监测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压差报警可靠性</w:t>
            </w:r>
          </w:p>
        </w:tc>
      </w:tr>
      <w:tr>
        <w:tc>
          <w:tcPr>
            <w:tcW w:type="dxa" w:w="170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喷丝头（spinneret）</w:t>
            </w:r>
          </w:p>
        </w:tc>
        <w:tc>
          <w:tcPr>
            <w:tcW w:type="dxa" w:w="317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环形缝 + 同心芯针，孔数按产能</w:t>
            </w:r>
          </w:p>
        </w:tc>
        <w:tc>
          <w:tcPr>
            <w:tcW w:type="dxa" w:w="260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同心度 ≤ 5 µm；缝宽公差 ≤ 2 µm</w:t>
            </w:r>
          </w:p>
        </w:tc>
        <w:tc>
          <w:tcPr>
            <w:tcW w:type="dxa" w:w="192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同心度（决定壁厚均匀）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空气隙区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恒温恒湿层流段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温度 ±2 ℃；RH ±5%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气流均匀性</w:t>
            </w:r>
          </w:p>
        </w:tc>
      </w:tr>
      <w:tr>
        <w:tc>
          <w:tcPr>
            <w:tcW w:type="dxa" w:w="170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凝固浴</w:t>
            </w:r>
          </w:p>
        </w:tc>
        <w:tc>
          <w:tcPr>
            <w:tcW w:type="dxa" w:w="317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多段梯度浴，带循环与浓度控制</w:t>
            </w:r>
          </w:p>
        </w:tc>
        <w:tc>
          <w:tcPr>
            <w:tcW w:type="dxa" w:w="260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温度 ±1 ℃；浓度 ±1 wt%</w:t>
            </w:r>
          </w:p>
        </w:tc>
        <w:tc>
          <w:tcPr>
            <w:tcW w:type="dxa" w:w="192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浓度在线闭环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牵伸辊组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多组伺服驱动，速度比可调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同步误差 ≤ 0.5%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伺服同步</w:t>
            </w:r>
          </w:p>
        </w:tc>
      </w:tr>
      <w:tr>
        <w:tc>
          <w:tcPr>
            <w:tcW w:type="dxa" w:w="170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水洗槽</w:t>
            </w:r>
          </w:p>
        </w:tc>
        <w:tc>
          <w:tcPr>
            <w:tcW w:type="dxa" w:w="317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多级逆流，带温度与换水控制</w:t>
            </w:r>
          </w:p>
        </w:tc>
        <w:tc>
          <w:tcPr>
            <w:tcW w:type="dxa" w:w="260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温度 ±2 ℃；换水倍率可计量</w:t>
            </w:r>
          </w:p>
        </w:tc>
        <w:tc>
          <w:tcPr>
            <w:tcW w:type="dxa" w:w="192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级数与逆流设计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干燥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低温热风或真空带式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温度 ±2 ℃；张力可控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张力控制</w:t>
            </w:r>
          </w:p>
        </w:tc>
      </w:tr>
      <w:tr>
        <w:tc>
          <w:tcPr>
            <w:tcW w:type="dxa" w:w="170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卷绕</w:t>
            </w:r>
          </w:p>
        </w:tc>
        <w:tc>
          <w:tcPr>
            <w:tcW w:type="dxa" w:w="317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恒张力卷绕</w:t>
            </w:r>
          </w:p>
        </w:tc>
        <w:tc>
          <w:tcPr>
            <w:tcW w:type="dxa" w:w="260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张力 ±3%</w:t>
            </w:r>
          </w:p>
        </w:tc>
        <w:tc>
          <w:tcPr>
            <w:tcW w:type="dxa" w:w="192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张力稳定性</w:t>
            </w:r>
          </w:p>
        </w:tc>
      </w:tr>
    </w:tbl>
    <w:p>
      <w:pPr>
        <w:spacing w:before="160" w:after="40"/>
        <w:ind w:left="113"/>
        <w:shd w:val="clear" w:color="auto" w:fill="FFF6E9"/>
        <w:pBdr>
          <w:left w:val="single" w:sz="16" w:space="6" w:color="C0621B"/>
        </w:pBdr>
      </w:pPr>
      <w:r>
        <w:rPr>
          <w:rFonts w:ascii="Segoe UI" w:hAnsi="Segoe UI" w:eastAsia="微软雅黑"/>
          <w:b/>
          <w:color w:val="C0621B"/>
          <w:sz w:val="19"/>
        </w:rPr>
        <w:t xml:space="preserve">  喷丝头为什么是最贵的单件  </w:t>
      </w:r>
    </w:p>
    <w:p>
      <w:pPr>
        <w:spacing w:after="180"/>
        <w:ind w:left="113"/>
        <w:jc w:val="both"/>
        <w:shd w:val="clear" w:color="auto" w:fill="FFF6E9"/>
        <w:pBdr>
          <w:left w:val="single" w:sz="16" w:space="6" w:color="C0621B"/>
        </w:pBdr>
      </w:pPr>
      <w:r>
        <w:rPr>
          <w:rFonts w:ascii="Segoe UI" w:hAnsi="Segoe UI" w:eastAsia="微软雅黑"/>
          <w:b w:val="0"/>
          <w:color w:val="333333"/>
          <w:sz w:val="19"/>
        </w:rPr>
        <w:t xml:space="preserve">  喷丝头的环形缝宽通常在 100–300 µm 量级，公差要求 2 µm 以内，芯针与外环的同心度要求 5 µm 以内。这是精密加工的天花板之一，全球能稳定供货的厂商很少。一只多孔喷丝头的价格可达数十万元，且更换周期受磨损限制——它既是耗材也是精度基准，必须按“关键备件”管理。</w:t>
      </w:r>
    </w:p>
    <w:p>
      <w:pPr>
        <w:keepNext/>
        <w:spacing w:before="260" w:after="120"/>
      </w:pPr>
      <w:r>
        <w:rPr>
          <w:rFonts w:ascii="Segoe UI" w:hAnsi="Segoe UI" w:eastAsia="微软雅黑"/>
          <w:b/>
          <w:color w:val="C0621B"/>
          <w:sz w:val="25"/>
        </w:rPr>
        <w:t xml:space="preserve">6.2  </w:t>
      </w:r>
      <w:r>
        <w:rPr>
          <w:rFonts w:ascii="Segoe UI" w:hAnsi="Segoe UI" w:eastAsia="微软雅黑"/>
          <w:b/>
          <w:color w:val="1F4E79"/>
          <w:sz w:val="25"/>
        </w:rPr>
        <w:t>灌封、切端与灭菌设备</w:t>
      </w: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595959"/>
          <w:sz w:val="19"/>
        </w:rPr>
        <w:t>表 6-2  后道设备规格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928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设备</w:t>
            </w:r>
          </w:p>
        </w:tc>
        <w:tc>
          <w:tcPr>
            <w:tcW w:type="dxa" w:w="2608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2948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技术规格</w:t>
            </w:r>
          </w:p>
        </w:tc>
        <w:tc>
          <w:tcPr>
            <w:tcW w:type="dxa" w:w="1928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关键控制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自动成束装壳机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定根数纤维束装入壳体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根数精度 ±1%；装填均匀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根数与分布均匀性</w:t>
            </w:r>
          </w:p>
        </w:tc>
      </w:tr>
      <w:tr>
        <w:tc>
          <w:tcPr>
            <w:tcW w:type="dxa" w:w="192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离心灌封机</w:t>
            </w:r>
          </w:p>
        </w:tc>
        <w:tc>
          <w:tcPr>
            <w:tcW w:type="dxa" w:w="260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PU 双组分灌注 + 离心成型</w:t>
            </w:r>
          </w:p>
        </w:tc>
        <w:tc>
          <w:tcPr>
            <w:tcW w:type="dxa" w:w="294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计量精度 ±1%；转速可编程</w:t>
            </w:r>
          </w:p>
        </w:tc>
        <w:tc>
          <w:tcPr>
            <w:tcW w:type="dxa" w:w="192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胶量、胶面形状（U 形）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固化炉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阶梯升温固化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温度 ±1 ℃；程序段可控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固化曲线一致性</w:t>
            </w:r>
          </w:p>
        </w:tc>
      </w:tr>
      <w:tr>
        <w:tc>
          <w:tcPr>
            <w:tcW w:type="dxa" w:w="192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切端机</w:t>
            </w:r>
          </w:p>
        </w:tc>
        <w:tc>
          <w:tcPr>
            <w:tcW w:type="dxa" w:w="260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切除端面多余胶层，贯通纤维</w:t>
            </w:r>
          </w:p>
        </w:tc>
        <w:tc>
          <w:tcPr>
            <w:tcW w:type="dxa" w:w="294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切面垂直度 ≤ 0.05 mm</w:t>
            </w:r>
          </w:p>
        </w:tc>
        <w:tc>
          <w:tcPr>
            <w:tcW w:type="dxa" w:w="192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刀具寿命管理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测漏机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气压衰减或水压保持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压力分辨率满足微漏检出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阈值统计依据</w:t>
            </w:r>
          </w:p>
        </w:tc>
      </w:tr>
      <w:tr>
        <w:tc>
          <w:tcPr>
            <w:tcW w:type="dxa" w:w="192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灭菌柜（蒸汽）</w:t>
            </w:r>
          </w:p>
        </w:tc>
        <w:tc>
          <w:tcPr>
            <w:tcW w:type="dxa" w:w="260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121 ℃ 湿热灭菌</w:t>
            </w:r>
          </w:p>
        </w:tc>
        <w:tc>
          <w:tcPr>
            <w:tcW w:type="dxa" w:w="294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温度均匀性 ±1 ℃；F0 可控</w:t>
            </w:r>
          </w:p>
        </w:tc>
        <w:tc>
          <w:tcPr>
            <w:tcW w:type="dxa" w:w="192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冷点确认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EO 灭菌柜（备选）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环氧乙烷灭菌 + 解析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浓度、温度、湿度、时间可控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残留解析验证</w:t>
            </w:r>
          </w:p>
        </w:tc>
      </w:tr>
      <w:tr>
        <w:tc>
          <w:tcPr>
            <w:tcW w:type="dxa" w:w="192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包装线</w:t>
            </w:r>
          </w:p>
        </w:tc>
        <w:tc>
          <w:tcPr>
            <w:tcW w:type="dxa" w:w="260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透析膜保湿 + 无菌屏障封口</w:t>
            </w:r>
          </w:p>
        </w:tc>
        <w:tc>
          <w:tcPr>
            <w:tcW w:type="dxa" w:w="294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封口温度/压力/时间可控</w:t>
            </w:r>
          </w:p>
        </w:tc>
        <w:tc>
          <w:tcPr>
            <w:tcW w:type="dxa" w:w="192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密封完整性</w:t>
            </w:r>
          </w:p>
        </w:tc>
      </w:tr>
    </w:tbl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灭菌方式的选择必须在设备采购前锁定，因为它反向约束材料：选蒸汽灭菌，壳体需耐 121 ℃ 且 PVP 分布要耐受；选 EO，需要解析腔体与残留检测能力；选 γ，PC 壳体需耐辐照牌号。三条路线不能事后切换。</w:t>
      </w:r>
    </w:p>
    <w:p>
      <w:pPr>
        <w:keepNext/>
        <w:spacing w:before="260" w:after="120"/>
      </w:pPr>
      <w:r>
        <w:rPr>
          <w:rFonts w:ascii="Segoe UI" w:hAnsi="Segoe UI" w:eastAsia="微软雅黑"/>
          <w:b/>
          <w:color w:val="C0621B"/>
          <w:sz w:val="25"/>
        </w:rPr>
        <w:t xml:space="preserve">6.3  </w:t>
      </w:r>
      <w:r>
        <w:rPr>
          <w:rFonts w:ascii="Segoe UI" w:hAnsi="Segoe UI" w:eastAsia="微软雅黑"/>
          <w:b/>
          <w:color w:val="1F4E79"/>
          <w:sz w:val="25"/>
        </w:rPr>
        <w:t>供应商格局与选型策略</w:t>
      </w: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595959"/>
          <w:sz w:val="19"/>
        </w:rPr>
        <w:t>表 6-3  设备供应格局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814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2948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国际供应</w:t>
            </w:r>
          </w:p>
        </w:tc>
        <w:tc>
          <w:tcPr>
            <w:tcW w:type="dxa" w:w="2721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国内供应</w:t>
            </w:r>
          </w:p>
        </w:tc>
        <w:tc>
          <w:tcPr>
            <w:tcW w:type="dxa" w:w="1928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建议策略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整线纺丝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少数欧洲/日本工程公司可提供</w:t>
            </w:r>
          </w:p>
        </w:tc>
        <w:tc>
          <w:tcPr>
            <w:tcW w:type="dxa" w:w="272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部分膜设备厂可集成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核心单元进口 + 整线国内集成</w:t>
            </w:r>
          </w:p>
        </w:tc>
      </w:tr>
      <w:tr>
        <w:tc>
          <w:tcPr>
            <w:tcW w:type="dxa" w:w="181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喷丝头</w:t>
            </w:r>
          </w:p>
        </w:tc>
        <w:tc>
          <w:tcPr>
            <w:tcW w:type="dxa" w:w="294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日本、德国精密加工厂</w:t>
            </w:r>
          </w:p>
        </w:tc>
        <w:tc>
          <w:tcPr>
            <w:tcW w:type="dxa" w:w="272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少数精密加工企业可试制</w:t>
            </w:r>
          </w:p>
        </w:tc>
        <w:tc>
          <w:tcPr>
            <w:tcW w:type="dxa" w:w="192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进口为主，国内同步验证二供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计量泵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欧美品牌（高精度）</w:t>
            </w:r>
          </w:p>
        </w:tc>
        <w:tc>
          <w:tcPr>
            <w:tcW w:type="dxa" w:w="272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国产中端可选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关键泵进口</w:t>
            </w:r>
          </w:p>
        </w:tc>
      </w:tr>
      <w:tr>
        <w:tc>
          <w:tcPr>
            <w:tcW w:type="dxa" w:w="181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在线测径/测厚</w:t>
            </w:r>
          </w:p>
        </w:tc>
        <w:tc>
          <w:tcPr>
            <w:tcW w:type="dxa" w:w="294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欧美日品牌</w:t>
            </w:r>
          </w:p>
        </w:tc>
        <w:tc>
          <w:tcPr>
            <w:tcW w:type="dxa" w:w="272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国产可用</w:t>
            </w:r>
          </w:p>
        </w:tc>
        <w:tc>
          <w:tcPr>
            <w:tcW w:type="dxa" w:w="192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国产替代，重点校验重复性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灌封/切端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欧洲整线商</w:t>
            </w:r>
          </w:p>
        </w:tc>
        <w:tc>
          <w:tcPr>
            <w:tcW w:type="dxa" w:w="272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国内非标自动化厂可定制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国内定制，进口关键阀件</w:t>
            </w:r>
          </w:p>
        </w:tc>
      </w:tr>
      <w:tr>
        <w:tc>
          <w:tcPr>
            <w:tcW w:type="dxa" w:w="181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灭菌柜</w:t>
            </w:r>
          </w:p>
        </w:tc>
        <w:tc>
          <w:tcPr>
            <w:tcW w:type="dxa" w:w="294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欧美品牌</w:t>
            </w:r>
          </w:p>
        </w:tc>
        <w:tc>
          <w:tcPr>
            <w:tcW w:type="dxa" w:w="272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国内有成熟供应商</w:t>
            </w:r>
          </w:p>
        </w:tc>
        <w:tc>
          <w:tcPr>
            <w:tcW w:type="dxa" w:w="192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国内为主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MES/SCADA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国际品牌</w:t>
            </w:r>
          </w:p>
        </w:tc>
        <w:tc>
          <w:tcPr>
            <w:tcW w:type="dxa" w:w="272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国内成熟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国内，注重与设备协议对接</w:t>
            </w:r>
          </w:p>
        </w:tc>
      </w:tr>
    </w:tbl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选型策略的核心判断是：把钱花在“决定孔径与壁厚”的环节上，其余环节用国产替代。具体而言，喷丝头、计量泵、凝固浴温控与浓度闭环这四项必须进口；卷绕、包装、MES 可国产。按此策略，设备投资可在保证性能的前提下压缩约 20%–25%。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交货周期必须前置考虑。高精度喷丝头与进口计量泵的订货周期通常 6–10 个月，整线集成调试另需 3–4 个月。因此设备采购合同应在厂房土建完成前 12 个月签订，否则会拖累整个项目排期。</w:t>
      </w:r>
    </w:p>
    <w:p>
      <w:r>
        <w:br w:type="page"/>
      </w:r>
    </w:p>
    <w:p>
      <w:pPr>
        <w:keepNext/>
        <w:spacing w:before="400" w:after="180"/>
        <w:pBdr>
          <w:bottom w:val="single" w:sz="14" w:space="6" w:color="1F3B57"/>
        </w:pBdr>
      </w:pPr>
      <w:r>
        <w:rPr>
          <w:rFonts w:ascii="Segoe UI" w:hAnsi="Segoe UI" w:eastAsia="微软雅黑"/>
          <w:b/>
          <w:color w:val="1F4E79"/>
          <w:sz w:val="34"/>
        </w:rPr>
        <w:t xml:space="preserve">07  </w:t>
      </w:r>
      <w:r>
        <w:rPr>
          <w:rFonts w:ascii="Segoe UI" w:hAnsi="Segoe UI" w:eastAsia="微软雅黑"/>
          <w:b/>
          <w:color w:val="1F3B57"/>
          <w:sz w:val="34"/>
        </w:rPr>
        <w:t>关键控制：四要素协同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第 3 章给出了参数窗口，但真正的难点在于四个要素的协同——它们不是独立可调的，而是相互牵制。这一章讲清楚“为什么调一个必须动其余三个”。</w:t>
      </w:r>
    </w:p>
    <w:p>
      <w:pPr>
        <w:keepNext/>
        <w:spacing w:before="260" w:after="120"/>
      </w:pPr>
      <w:r>
        <w:rPr>
          <w:rFonts w:ascii="Segoe UI" w:hAnsi="Segoe UI" w:eastAsia="微软雅黑"/>
          <w:b/>
          <w:color w:val="C0621B"/>
          <w:sz w:val="25"/>
        </w:rPr>
        <w:t xml:space="preserve">7.1  </w:t>
      </w:r>
      <w:r>
        <w:rPr>
          <w:rFonts w:ascii="Segoe UI" w:hAnsi="Segoe UI" w:eastAsia="微软雅黑"/>
          <w:b/>
          <w:color w:val="1F4E79"/>
          <w:sz w:val="25"/>
        </w:rPr>
        <w:t>芯液与凝固浴的闭环控制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芯液决定纤维内表面，凝固浴决定外表面与整体孔结构。两者共同定义了壁的“双侧边界条件”。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芯液的作用机制是：当芯液中的溶剂浓度高于铸膜液时，内表面不会立即分相，形成致密内皮层；反之则形成开孔内表面。内表面对血流阻力影响显著——内表面越致密，相同 Qb 下的跨膜压降越大。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凝固浴的作用机制已在第 3 章说明。这里要强调的是两者的耦合：凝固浴溶剂浓度上升会同时降低外表面分相速率与内外浓度差，导致壁厚方向上孔结构梯度变缓。若只调凝固浴不调芯液，会出现“外表面合格、内表面开孔过度”的不对称，表现为清除率正常但残血量偏高。</w:t>
      </w: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595959"/>
          <w:sz w:val="19"/>
        </w:rPr>
        <w:t>表 7-1  芯液与凝固浴的协同调节矩阵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755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现象</w:t>
            </w:r>
          </w:p>
        </w:tc>
        <w:tc>
          <w:tcPr>
            <w:tcW w:type="dxa" w:w="2534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芯液调整</w:t>
            </w:r>
          </w:p>
        </w:tc>
        <w:tc>
          <w:tcPr>
            <w:tcW w:type="dxa" w:w="2534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凝固浴调整</w:t>
            </w:r>
          </w:p>
        </w:tc>
        <w:tc>
          <w:tcPr>
            <w:tcW w:type="dxa" w:w="1882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预期效果</w:t>
            </w:r>
          </w:p>
        </w:tc>
      </w:tr>
      <w:tr>
        <w:tc>
          <w:tcPr>
            <w:tcW w:type="dxa" w:w="275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跨膜压降偏高（内阻大）</w:t>
            </w:r>
          </w:p>
        </w:tc>
        <w:tc>
          <w:tcPr>
            <w:tcW w:type="dxa" w:w="253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提高芯液溶剂比例</w:t>
            </w:r>
          </w:p>
        </w:tc>
        <w:tc>
          <w:tcPr>
            <w:tcW w:type="dxa" w:w="253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不变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内表面开孔，降阻力</w:t>
            </w:r>
          </w:p>
        </w:tc>
      </w:tr>
      <w:tr>
        <w:tc>
          <w:tcPr>
            <w:tcW w:type="dxa" w:w="275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白蛋白筛分超标</w:t>
            </w:r>
          </w:p>
        </w:tc>
        <w:tc>
          <w:tcPr>
            <w:tcW w:type="dxa" w:w="253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不变</w:t>
            </w:r>
          </w:p>
        </w:tc>
        <w:tc>
          <w:tcPr>
            <w:tcW w:type="dxa" w:w="253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提高溶剂浓度 + 降温</w:t>
            </w:r>
          </w:p>
        </w:tc>
        <w:tc>
          <w:tcPr>
            <w:tcW w:type="dxa" w:w="1882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皮层致密化</w:t>
            </w:r>
          </w:p>
        </w:tc>
      </w:tr>
      <w:tr>
        <w:tc>
          <w:tcPr>
            <w:tcW w:type="dxa" w:w="275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通量不足</w:t>
            </w:r>
          </w:p>
        </w:tc>
        <w:tc>
          <w:tcPr>
            <w:tcW w:type="dxa" w:w="253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降低芯液溶剂比例</w:t>
            </w:r>
          </w:p>
        </w:tc>
        <w:tc>
          <w:tcPr>
            <w:tcW w:type="dxa" w:w="253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降低溶剂浓度 + 升温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整体开孔</w:t>
            </w:r>
          </w:p>
        </w:tc>
      </w:tr>
      <w:tr>
        <w:tc>
          <w:tcPr>
            <w:tcW w:type="dxa" w:w="275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残血量偏高</w:t>
            </w:r>
          </w:p>
        </w:tc>
        <w:tc>
          <w:tcPr>
            <w:tcW w:type="dxa" w:w="253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降低芯液溶剂比例（内表面开孔）</w:t>
            </w:r>
          </w:p>
        </w:tc>
        <w:tc>
          <w:tcPr>
            <w:tcW w:type="dxa" w:w="253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不变</w:t>
            </w:r>
          </w:p>
        </w:tc>
        <w:tc>
          <w:tcPr>
            <w:tcW w:type="dxa" w:w="1882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改善冲洗性</w:t>
            </w:r>
          </w:p>
        </w:tc>
      </w:tr>
      <w:tr>
        <w:tc>
          <w:tcPr>
            <w:tcW w:type="dxa" w:w="275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壁厚不均</w:t>
            </w:r>
          </w:p>
        </w:tc>
        <w:tc>
          <w:tcPr>
            <w:tcW w:type="dxa" w:w="253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检查芯针同心度</w:t>
            </w:r>
          </w:p>
        </w:tc>
        <w:tc>
          <w:tcPr>
            <w:tcW w:type="dxa" w:w="253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检查浴槽流场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消除机械与流体因素</w:t>
            </w:r>
          </w:p>
        </w:tc>
      </w:tr>
    </w:tbl>
    <w:p>
      <w:pPr>
        <w:keepNext/>
        <w:spacing w:before="260" w:after="120"/>
      </w:pPr>
      <w:r>
        <w:rPr>
          <w:rFonts w:ascii="Segoe UI" w:hAnsi="Segoe UI" w:eastAsia="微软雅黑"/>
          <w:b/>
          <w:color w:val="C0621B"/>
          <w:sz w:val="25"/>
        </w:rPr>
        <w:t xml:space="preserve">7.2  </w:t>
      </w:r>
      <w:r>
        <w:rPr>
          <w:rFonts w:ascii="Segoe UI" w:hAnsi="Segoe UI" w:eastAsia="微软雅黑"/>
          <w:b/>
          <w:color w:val="1F4E79"/>
          <w:sz w:val="25"/>
        </w:rPr>
        <w:t>空气隙与牵伸的同步控制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空气隙与牵伸是一对“方向相同、机理不同”的参数：空气隙通过溶剂挥发提高表面聚合物浓度，牵伸通过机械力使链段取向。两者都会提高强度与致密度，但过度叠加会导致断丝。</w:t>
      </w: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595959"/>
          <w:sz w:val="19"/>
        </w:rPr>
        <w:t>表 7-2  空气隙与牵伸的组合效应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205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空气隙</w:t>
            </w:r>
          </w:p>
        </w:tc>
        <w:tc>
          <w:tcPr>
            <w:tcW w:type="dxa" w:w="2205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牵伸比</w:t>
            </w:r>
          </w:p>
        </w:tc>
        <w:tc>
          <w:tcPr>
            <w:tcW w:type="dxa" w:w="3090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结果</w:t>
            </w:r>
          </w:p>
        </w:tc>
        <w:tc>
          <w:tcPr>
            <w:tcW w:type="dxa" w:w="2205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适用</w:t>
            </w:r>
          </w:p>
        </w:tc>
      </w:tr>
      <w:tr>
        <w:tc>
          <w:tcPr>
            <w:tcW w:type="dxa" w:w="220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短（&lt;5 cm）</w:t>
            </w:r>
          </w:p>
        </w:tc>
        <w:tc>
          <w:tcPr>
            <w:tcW w:type="dxa" w:w="220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低（&lt;1.2）</w:t>
            </w:r>
          </w:p>
        </w:tc>
        <w:tc>
          <w:tcPr>
            <w:tcW w:type="dxa" w:w="3090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皮层薄、孔大、强度低</w:t>
            </w:r>
          </w:p>
        </w:tc>
        <w:tc>
          <w:tcPr>
            <w:tcW w:type="dxa" w:w="220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低通量膜</w:t>
            </w:r>
          </w:p>
        </w:tc>
      </w:tr>
      <w:tr>
        <w:tc>
          <w:tcPr>
            <w:tcW w:type="dxa" w:w="220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中（15–20 cm）</w:t>
            </w:r>
          </w:p>
        </w:tc>
        <w:tc>
          <w:tcPr>
            <w:tcW w:type="dxa" w:w="220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中（1.2–1.6）</w:t>
            </w:r>
          </w:p>
        </w:tc>
        <w:tc>
          <w:tcPr>
            <w:tcW w:type="dxa" w:w="3090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皮层致密、海绵孔、强度好</w:t>
            </w:r>
          </w:p>
        </w:tc>
        <w:tc>
          <w:tcPr>
            <w:tcW w:type="dxa" w:w="220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高通量膜（推荐基线）</w:t>
            </w:r>
          </w:p>
        </w:tc>
      </w:tr>
      <w:tr>
        <w:tc>
          <w:tcPr>
            <w:tcW w:type="dxa" w:w="220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长（&gt;25 cm）</w:t>
            </w:r>
          </w:p>
        </w:tc>
        <w:tc>
          <w:tcPr>
            <w:tcW w:type="dxa" w:w="220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高（&gt;1.8）</w:t>
            </w:r>
          </w:p>
        </w:tc>
        <w:tc>
          <w:tcPr>
            <w:tcW w:type="dxa" w:w="3090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过度致密、通量骤降、易断丝</w:t>
            </w:r>
          </w:p>
        </w:tc>
        <w:tc>
          <w:tcPr>
            <w:tcW w:type="dxa" w:w="220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不推荐</w:t>
            </w:r>
          </w:p>
        </w:tc>
      </w:tr>
      <w:tr>
        <w:tc>
          <w:tcPr>
            <w:tcW w:type="dxa" w:w="220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短</w:t>
            </w:r>
          </w:p>
        </w:tc>
        <w:tc>
          <w:tcPr>
            <w:tcW w:type="dxa" w:w="220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高</w:t>
            </w:r>
          </w:p>
        </w:tc>
        <w:tc>
          <w:tcPr>
            <w:tcW w:type="dxa" w:w="3090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表面缺陷多、椭圆度大</w:t>
            </w:r>
          </w:p>
        </w:tc>
        <w:tc>
          <w:tcPr>
            <w:tcW w:type="dxa" w:w="220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不推荐</w:t>
            </w:r>
          </w:p>
        </w:tc>
      </w:tr>
    </w:tbl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实操上的建议是：先固定牵伸比，用空气隙调筛分；筛分达标后再微调牵伸修通量。反过来做（先调牵伸）会导致两个变量同时变化，无法归因。这是 DOE 设计中“一次只动一个主因子”原则的具体应用。</w:t>
      </w:r>
    </w:p>
    <w:p>
      <w:pPr>
        <w:spacing w:before="160" w:after="40"/>
        <w:ind w:left="113"/>
        <w:shd w:val="clear" w:color="auto" w:fill="FFF6E9"/>
        <w:pBdr>
          <w:left w:val="single" w:sz="16" w:space="6" w:color="C0621B"/>
        </w:pBdr>
      </w:pPr>
      <w:r>
        <w:rPr>
          <w:rFonts w:ascii="Segoe UI" w:hAnsi="Segoe UI" w:eastAsia="微软雅黑"/>
          <w:b/>
          <w:color w:val="C0621B"/>
          <w:sz w:val="19"/>
        </w:rPr>
        <w:t xml:space="preserve">  四要素的耦合本质  </w:t>
      </w:r>
    </w:p>
    <w:p>
      <w:pPr>
        <w:spacing w:after="180"/>
        <w:ind w:left="113"/>
        <w:jc w:val="both"/>
        <w:shd w:val="clear" w:color="auto" w:fill="FFF6E9"/>
        <w:pBdr>
          <w:left w:val="single" w:sz="16" w:space="6" w:color="C0621B"/>
        </w:pBdr>
      </w:pPr>
      <w:r>
        <w:rPr>
          <w:rFonts w:ascii="Segoe UI" w:hAnsi="Segoe UI" w:eastAsia="微软雅黑"/>
          <w:b w:val="0"/>
          <w:color w:val="333333"/>
          <w:sz w:val="19"/>
        </w:rPr>
        <w:t xml:space="preserve">  芯液、凝固浴、空气隙、牵伸四者，本质上都在调同一个东西——相分离发生时的“局部溶剂浓度”。理解这一点，就能预判：任何一个参数的变化，都会被其余三个放大或抵消。这也是为什么工艺窗口窄，以及为什么“抄参数”抄不出同样的膜。</w:t>
      </w:r>
    </w:p>
    <w:p>
      <w:r>
        <w:br w:type="page"/>
      </w:r>
    </w:p>
    <w:p>
      <w:pPr>
        <w:keepNext/>
        <w:spacing w:before="400" w:after="180"/>
        <w:pBdr>
          <w:bottom w:val="single" w:sz="14" w:space="6" w:color="1F3B57"/>
        </w:pBdr>
      </w:pPr>
      <w:r>
        <w:rPr>
          <w:rFonts w:ascii="Segoe UI" w:hAnsi="Segoe UI" w:eastAsia="微软雅黑"/>
          <w:b/>
          <w:color w:val="1F4E79"/>
          <w:sz w:val="34"/>
        </w:rPr>
        <w:t xml:space="preserve">08  </w:t>
      </w:r>
      <w:r>
        <w:rPr>
          <w:rFonts w:ascii="Segoe UI" w:hAnsi="Segoe UI" w:eastAsia="微软雅黑"/>
          <w:b/>
          <w:color w:val="1F3B57"/>
          <w:sz w:val="34"/>
        </w:rPr>
        <w:t>水洗与残留控制专项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残留溶剂是这个项目最容易被低估的注册风险。它不影响产品性能，却足以让注册失败。本章单独列出，作为专项设计。</w:t>
      </w:r>
    </w:p>
    <w:p>
      <w:pPr>
        <w:keepNext/>
        <w:spacing w:before="260" w:after="120"/>
      </w:pPr>
      <w:r>
        <w:rPr>
          <w:rFonts w:ascii="Segoe UI" w:hAnsi="Segoe UI" w:eastAsia="微软雅黑"/>
          <w:b/>
          <w:color w:val="C0621B"/>
          <w:sz w:val="25"/>
        </w:rPr>
        <w:t xml:space="preserve">8.1  </w:t>
      </w:r>
      <w:r>
        <w:rPr>
          <w:rFonts w:ascii="Segoe UI" w:hAnsi="Segoe UI" w:eastAsia="微软雅黑"/>
          <w:b/>
          <w:color w:val="1F4E79"/>
          <w:sz w:val="25"/>
        </w:rPr>
        <w:t>残留物的来源与限量逻辑</w:t>
      </w: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595959"/>
          <w:sz w:val="19"/>
        </w:rPr>
        <w:t>表 8-1  残留物来源与限量依据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655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残留物</w:t>
            </w:r>
          </w:p>
        </w:tc>
        <w:tc>
          <w:tcPr>
            <w:tcW w:type="dxa" w:w="2648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3090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毒理学关注点</w:t>
            </w:r>
          </w:p>
        </w:tc>
        <w:tc>
          <w:tcPr>
            <w:tcW w:type="dxa" w:w="2313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控制依据</w:t>
            </w:r>
          </w:p>
        </w:tc>
      </w:tr>
      <w:tr>
        <w:tc>
          <w:tcPr>
            <w:tcW w:type="dxa" w:w="165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DMAc</w:t>
            </w:r>
          </w:p>
        </w:tc>
        <w:tc>
          <w:tcPr>
            <w:tcW w:type="dxa" w:w="264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PSf/PES 纺丝溶剂</w:t>
            </w:r>
          </w:p>
        </w:tc>
        <w:tc>
          <w:tcPr>
            <w:tcW w:type="dxa" w:w="3090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肝毒性；经皮与吸入均有风险</w:t>
            </w:r>
          </w:p>
        </w:tc>
        <w:tc>
          <w:tcPr>
            <w:tcW w:type="dxa" w:w="2313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ISO 10993-17 允许限量推导</w:t>
            </w:r>
          </w:p>
        </w:tc>
      </w:tr>
      <w:tr>
        <w:tc>
          <w:tcPr>
            <w:tcW w:type="dxa" w:w="165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NMP</w:t>
            </w:r>
          </w:p>
        </w:tc>
        <w:tc>
          <w:tcPr>
            <w:tcW w:type="dxa" w:w="264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纺丝溶剂（替代 DMAc）</w:t>
            </w:r>
          </w:p>
        </w:tc>
        <w:tc>
          <w:tcPr>
            <w:tcW w:type="dxa" w:w="3090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生殖毒性（CMR 2 类关注）</w:t>
            </w:r>
          </w:p>
        </w:tc>
        <w:tc>
          <w:tcPr>
            <w:tcW w:type="dxa" w:w="2313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同上，限量更严</w:t>
            </w:r>
          </w:p>
        </w:tc>
      </w:tr>
      <w:tr>
        <w:tc>
          <w:tcPr>
            <w:tcW w:type="dxa" w:w="165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PVP</w:t>
            </w:r>
          </w:p>
        </w:tc>
        <w:tc>
          <w:tcPr>
            <w:tcW w:type="dxa" w:w="264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亲水添加剂</w:t>
            </w:r>
          </w:p>
        </w:tc>
        <w:tc>
          <w:tcPr>
            <w:tcW w:type="dxa" w:w="3090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大分子，主要在局部沉积；溶出量需控制</w:t>
            </w:r>
          </w:p>
        </w:tc>
        <w:tc>
          <w:tcPr>
            <w:tcW w:type="dxa" w:w="2313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溶出量 + 生物学评价</w:t>
            </w:r>
          </w:p>
        </w:tc>
      </w:tr>
      <w:tr>
        <w:tc>
          <w:tcPr>
            <w:tcW w:type="dxa" w:w="165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MDI（游离）</w:t>
            </w:r>
          </w:p>
        </w:tc>
        <w:tc>
          <w:tcPr>
            <w:tcW w:type="dxa" w:w="264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PU 封胶未反应单体</w:t>
            </w:r>
          </w:p>
        </w:tc>
        <w:tc>
          <w:tcPr>
            <w:tcW w:type="dxa" w:w="3090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致敏、刺激</w:t>
            </w:r>
          </w:p>
        </w:tc>
        <w:tc>
          <w:tcPr>
            <w:tcW w:type="dxa" w:w="2313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游离 MDI 检测</w:t>
            </w:r>
          </w:p>
        </w:tc>
      </w:tr>
      <w:tr>
        <w:tc>
          <w:tcPr>
            <w:tcW w:type="dxa" w:w="165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双酚 A</w:t>
            </w:r>
          </w:p>
        </w:tc>
        <w:tc>
          <w:tcPr>
            <w:tcW w:type="dxa" w:w="264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PC 壳体残留</w:t>
            </w:r>
          </w:p>
        </w:tc>
        <w:tc>
          <w:tcPr>
            <w:tcW w:type="dxa" w:w="3090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内分泌干扰争议</w:t>
            </w:r>
          </w:p>
        </w:tc>
        <w:tc>
          <w:tcPr>
            <w:tcW w:type="dxa" w:w="2313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溶出研究</w:t>
            </w:r>
          </w:p>
        </w:tc>
      </w:tr>
    </w:tbl>
    <w:p>
      <w:pPr>
        <w:keepNext/>
        <w:spacing w:before="260" w:after="120"/>
      </w:pPr>
      <w:r>
        <w:rPr>
          <w:rFonts w:ascii="Segoe UI" w:hAnsi="Segoe UI" w:eastAsia="微软雅黑"/>
          <w:b/>
          <w:color w:val="C0621B"/>
          <w:sz w:val="25"/>
        </w:rPr>
        <w:t xml:space="preserve">8.2  </w:t>
      </w:r>
      <w:r>
        <w:rPr>
          <w:rFonts w:ascii="Segoe UI" w:hAnsi="Segoe UI" w:eastAsia="微软雅黑"/>
          <w:b/>
          <w:color w:val="1F4E79"/>
          <w:sz w:val="25"/>
        </w:rPr>
        <w:t>试验条件与取样方案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按 CMDE 指导原则，残留物溶出研究采用循环模拟条件。这一条件的设计逻辑是还原一次标准透析治疗的最不利工况。</w:t>
      </w: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595959"/>
          <w:sz w:val="19"/>
        </w:rPr>
        <w:t>表 8-2  残留物溶出试验条件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928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参数</w:t>
            </w:r>
          </w:p>
        </w:tc>
        <w:tc>
          <w:tcPr>
            <w:tcW w:type="dxa" w:w="3628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设定值</w:t>
            </w:r>
          </w:p>
        </w:tc>
        <w:tc>
          <w:tcPr>
            <w:tcW w:type="dxa" w:w="4082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设定理由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温度</w:t>
            </w:r>
          </w:p>
        </w:tc>
        <w:tc>
          <w:tcPr>
            <w:tcW w:type="dxa" w:w="362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37 ℃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模拟人体血液温度</w:t>
            </w:r>
          </w:p>
        </w:tc>
      </w:tr>
      <w:tr>
        <w:tc>
          <w:tcPr>
            <w:tcW w:type="dxa" w:w="192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流速</w:t>
            </w:r>
          </w:p>
        </w:tc>
        <w:tc>
          <w:tcPr>
            <w:tcW w:type="dxa" w:w="362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200 mL/min</w:t>
            </w:r>
          </w:p>
        </w:tc>
        <w:tc>
          <w:tcPr>
            <w:tcW w:type="dxa" w:w="4082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模拟典型血泵流量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循环时间</w:t>
            </w:r>
          </w:p>
        </w:tc>
        <w:tc>
          <w:tcPr>
            <w:tcW w:type="dxa" w:w="362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5.5 h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覆盖一次标准透析治疗时长（含上下机）</w:t>
            </w:r>
          </w:p>
        </w:tc>
      </w:tr>
      <w:tr>
        <w:tc>
          <w:tcPr>
            <w:tcW w:type="dxa" w:w="192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循环方式</w:t>
            </w:r>
          </w:p>
        </w:tc>
        <w:tc>
          <w:tcPr>
            <w:tcW w:type="dxa" w:w="362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闭路循环（血侧）</w:t>
            </w:r>
          </w:p>
        </w:tc>
        <w:tc>
          <w:tcPr>
            <w:tcW w:type="dxa" w:w="4082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累积最不利浓度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取样点</w:t>
            </w:r>
          </w:p>
        </w:tc>
        <w:tc>
          <w:tcPr>
            <w:tcW w:type="dxa" w:w="362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0、0.5、1、2、4、5.5 h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绘制溶出曲线，判断是否达平衡</w:t>
            </w:r>
          </w:p>
        </w:tc>
      </w:tr>
      <w:tr>
        <w:tc>
          <w:tcPr>
            <w:tcW w:type="dxa" w:w="192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检测方法</w:t>
            </w:r>
          </w:p>
        </w:tc>
        <w:tc>
          <w:tcPr>
            <w:tcW w:type="dxa" w:w="362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GC-MS（溶剂）/ HPLC-MS（PVP、MDI、BPA）</w:t>
            </w:r>
          </w:p>
        </w:tc>
        <w:tc>
          <w:tcPr>
            <w:tcW w:type="dxa" w:w="4082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灵敏度满足限量要求</w:t>
            </w:r>
          </w:p>
        </w:tc>
      </w:tr>
    </w:tbl>
    <w:p>
      <w:pPr>
        <w:keepNext/>
        <w:spacing w:before="260" w:after="120"/>
      </w:pPr>
      <w:r>
        <w:rPr>
          <w:rFonts w:ascii="Segoe UI" w:hAnsi="Segoe UI" w:eastAsia="微软雅黑"/>
          <w:b/>
          <w:color w:val="C0621B"/>
          <w:sz w:val="25"/>
        </w:rPr>
        <w:t xml:space="preserve">8.3  </w:t>
      </w:r>
      <w:r>
        <w:rPr>
          <w:rFonts w:ascii="Segoe UI" w:hAnsi="Segoe UI" w:eastAsia="微软雅黑"/>
          <w:b/>
          <w:color w:val="1F4E79"/>
          <w:sz w:val="25"/>
        </w:rPr>
        <w:t>工艺控制要点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残留控制的本质是传质问题：溶剂要从纤维壁内部扩散到水相，速率受温度、浓度梯度、扩散路径长度三者支配。因此工艺设计有三条明确抓手：</w:t>
      </w:r>
    </w:p>
    <w:p>
      <w:pPr>
        <w:spacing w:after="100"/>
        <w:ind w:left="454" w:hanging="454"/>
        <w:jc w:val="both"/>
      </w:pPr>
      <w:r>
        <w:rPr>
          <w:rFonts w:ascii="Segoe UI" w:hAnsi="Segoe UI" w:eastAsia="微软雅黑"/>
          <w:b/>
          <w:color w:val="C0621B"/>
          <w:sz w:val="20"/>
        </w:rPr>
        <w:t xml:space="preserve">01  </w:t>
      </w:r>
      <w:r>
        <w:rPr>
          <w:rFonts w:ascii="Segoe UI" w:hAnsi="Segoe UI" w:eastAsia="微软雅黑"/>
          <w:b/>
          <w:color w:val="1F3B57"/>
          <w:sz w:val="21"/>
        </w:rPr>
        <w:t>提高温度：</w:t>
      </w:r>
      <w:r>
        <w:rPr>
          <w:rFonts w:ascii="Segoe UI" w:hAnsi="Segoe UI" w:eastAsia="微软雅黑"/>
          <w:sz w:val="21"/>
        </w:rPr>
        <w:t>40–60 ℃ 的水洗温度可使扩散系数提高约 1.5–2 倍。但温度过高会导致 PVP 迁移与孔结构变化，需在 60 ℃ 设上限。</w:t>
      </w:r>
    </w:p>
    <w:p>
      <w:pPr>
        <w:spacing w:after="100"/>
        <w:ind w:left="454" w:hanging="454"/>
        <w:jc w:val="both"/>
      </w:pPr>
      <w:r>
        <w:rPr>
          <w:rFonts w:ascii="Segoe UI" w:hAnsi="Segoe UI" w:eastAsia="微软雅黑"/>
          <w:b/>
          <w:color w:val="C0621B"/>
          <w:sz w:val="20"/>
        </w:rPr>
        <w:t xml:space="preserve">02  </w:t>
      </w:r>
      <w:r>
        <w:rPr>
          <w:rFonts w:ascii="Segoe UI" w:hAnsi="Segoe UI" w:eastAsia="微软雅黑"/>
          <w:b/>
          <w:color w:val="1F3B57"/>
          <w:sz w:val="21"/>
        </w:rPr>
        <w:t>维持浓度梯度：</w:t>
      </w:r>
      <w:r>
        <w:rPr>
          <w:rFonts w:ascii="Segoe UI" w:hAnsi="Segoe UI" w:eastAsia="微软雅黑"/>
          <w:sz w:val="21"/>
        </w:rPr>
        <w:t>逆流多级水洗，每级都用新鲜水，避免单槽饱和。换水倍率不足时，后期溶出会明显变慢（接近平衡）。</w:t>
      </w:r>
    </w:p>
    <w:p>
      <w:pPr>
        <w:spacing w:after="100"/>
        <w:ind w:left="454" w:hanging="454"/>
        <w:jc w:val="both"/>
      </w:pPr>
      <w:r>
        <w:rPr>
          <w:rFonts w:ascii="Segoe UI" w:hAnsi="Segoe UI" w:eastAsia="微软雅黑"/>
          <w:b/>
          <w:color w:val="C0621B"/>
          <w:sz w:val="20"/>
        </w:rPr>
        <w:t xml:space="preserve">03  </w:t>
      </w:r>
      <w:r>
        <w:rPr>
          <w:rFonts w:ascii="Segoe UI" w:hAnsi="Segoe UI" w:eastAsia="微软雅黑"/>
          <w:b/>
          <w:color w:val="1F3B57"/>
          <w:sz w:val="21"/>
        </w:rPr>
        <w:t>缩短扩散路径：</w:t>
      </w:r>
      <w:r>
        <w:rPr>
          <w:rFonts w:ascii="Segoe UI" w:hAnsi="Segoe UI" w:eastAsia="微软雅黑"/>
          <w:sz w:val="21"/>
        </w:rPr>
        <w:t>纤维束越松散、水洗时展开越充分，路径越短。这要求成束前的丝束处理不能压得过实。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一个工程细节：水洗槽的最后一格应当是“新鲜水入口”，且出水口设在第一格——逆流设计。若做成顺流（同一方向进水），后段浓度反而升高，残留会卡在限值附近，量产时极易超标。这是设计阶段就要定的事，改造成本很高。</w:t>
      </w:r>
    </w:p>
    <w:p>
      <w:pPr>
        <w:spacing w:before="160" w:after="40"/>
        <w:ind w:left="113"/>
        <w:shd w:val="clear" w:color="auto" w:fill="FFF6E9"/>
        <w:pBdr>
          <w:left w:val="single" w:sz="16" w:space="6" w:color="C0621B"/>
        </w:pBdr>
      </w:pPr>
      <w:r>
        <w:rPr>
          <w:rFonts w:ascii="Segoe UI" w:hAnsi="Segoe UI" w:eastAsia="微软雅黑"/>
          <w:b/>
          <w:color w:val="C0621B"/>
          <w:sz w:val="19"/>
        </w:rPr>
        <w:t xml:space="preserve">  注册视角的提醒  </w:t>
      </w:r>
    </w:p>
    <w:p>
      <w:pPr>
        <w:spacing w:after="180"/>
        <w:ind w:left="113"/>
        <w:jc w:val="both"/>
        <w:shd w:val="clear" w:color="auto" w:fill="FFF6E9"/>
        <w:pBdr>
          <w:left w:val="single" w:sz="16" w:space="6" w:color="C0621B"/>
        </w:pBdr>
      </w:pPr>
      <w:r>
        <w:rPr>
          <w:rFonts w:ascii="Segoe UI" w:hAnsi="Segoe UI" w:eastAsia="微软雅黑"/>
          <w:b w:val="0"/>
          <w:color w:val="333333"/>
          <w:sz w:val="19"/>
        </w:rPr>
        <w:t xml:space="preserve">  残留物研究不是“测一下有没有超标”，而是要给出“为什么这个水平是安全的”的论证。这意味着需要完整的毒理学风险评估报告（ISO 10993-17），而不是一张检测报告。建议在M12前完成方法学开发与初步数据，为注册检验留出返工余地。</w:t>
      </w:r>
    </w:p>
    <w:p>
      <w:r>
        <w:br w:type="page"/>
      </w:r>
    </w:p>
    <w:p>
      <w:pPr>
        <w:keepNext/>
        <w:spacing w:before="400" w:after="180"/>
        <w:pBdr>
          <w:bottom w:val="single" w:sz="14" w:space="6" w:color="1F3B57"/>
        </w:pBdr>
      </w:pPr>
      <w:r>
        <w:rPr>
          <w:rFonts w:ascii="Segoe UI" w:hAnsi="Segoe UI" w:eastAsia="微软雅黑"/>
          <w:b/>
          <w:color w:val="1F4E79"/>
          <w:sz w:val="34"/>
        </w:rPr>
        <w:t xml:space="preserve">09  </w:t>
      </w:r>
      <w:r>
        <w:rPr>
          <w:rFonts w:ascii="Segoe UI" w:hAnsi="Segoe UI" w:eastAsia="微软雅黑"/>
          <w:b/>
          <w:color w:val="1F3B57"/>
          <w:sz w:val="34"/>
        </w:rPr>
        <w:t>投资估算与经济性分析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本章的所有数字都是可复算的：每个假设都写明来源或推导方式，读者可以替换任一参数重跑。这不是为了精确，而是为了让决策者能看到“哪些假设一旦错了，结论会翻转”。</w:t>
      </w:r>
    </w:p>
    <w:p>
      <w:pPr>
        <w:keepNext/>
        <w:spacing w:before="260" w:after="120"/>
      </w:pPr>
      <w:r>
        <w:rPr>
          <w:rFonts w:ascii="Segoe UI" w:hAnsi="Segoe UI" w:eastAsia="微软雅黑"/>
          <w:b/>
          <w:color w:val="C0621B"/>
          <w:sz w:val="25"/>
        </w:rPr>
        <w:t xml:space="preserve">9.1  </w:t>
      </w:r>
      <w:r>
        <w:rPr>
          <w:rFonts w:ascii="Segoe UI" w:hAnsi="Segoe UI" w:eastAsia="微软雅黑"/>
          <w:b/>
          <w:color w:val="1F4E79"/>
          <w:sz w:val="25"/>
        </w:rPr>
        <w:t>固定资产投资</w:t>
      </w: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595959"/>
          <w:sz w:val="19"/>
        </w:rPr>
        <w:t>表 9-1  固定资产投资估算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928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投资类别</w:t>
            </w:r>
          </w:p>
        </w:tc>
        <w:tc>
          <w:tcPr>
            <w:tcW w:type="dxa" w:w="4082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主要构成</w:t>
            </w:r>
          </w:p>
        </w:tc>
        <w:tc>
          <w:tcPr>
            <w:tcW w:type="dxa" w:w="1814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估算（万元）</w:t>
            </w:r>
          </w:p>
        </w:tc>
        <w:tc>
          <w:tcPr>
            <w:tcW w:type="dxa" w:w="1247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占比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核心工艺设备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纺丝整线（供料、计量、过滤、喷丝、凝固、水洗、干燥、卷绕）、喷丝头组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6,200</w:t>
            </w:r>
          </w:p>
        </w:tc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41.3%</w:t>
            </w:r>
          </w:p>
        </w:tc>
      </w:tr>
      <w:tr>
        <w:tc>
          <w:tcPr>
            <w:tcW w:type="dxa" w:w="192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后道设备</w:t>
            </w:r>
          </w:p>
        </w:tc>
        <w:tc>
          <w:tcPr>
            <w:tcW w:type="dxa" w:w="4082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成束装壳、离心灌封、固化、切端、测漏、包装线</w:t>
            </w:r>
          </w:p>
        </w:tc>
        <w:tc>
          <w:tcPr>
            <w:tcW w:type="dxa" w:w="181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2,400</w:t>
            </w:r>
          </w:p>
        </w:tc>
        <w:tc>
          <w:tcPr>
            <w:tcW w:type="dxa" w:w="1247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16.0%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灭菌与公用工程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蒸汽灭菌柜、纯水系统、压缩空气、冷冻、空调净化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2,100</w:t>
            </w:r>
          </w:p>
        </w:tc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14.0%</w:t>
            </w:r>
          </w:p>
        </w:tc>
      </w:tr>
      <w:tr>
        <w:tc>
          <w:tcPr>
            <w:tcW w:type="dxa" w:w="192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洁净厂房与安装</w:t>
            </w:r>
          </w:p>
        </w:tc>
        <w:tc>
          <w:tcPr>
            <w:tcW w:type="dxa" w:w="4082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ISO 7/8 洁净区、地面、管线、电气、安装工程</w:t>
            </w:r>
          </w:p>
        </w:tc>
        <w:tc>
          <w:tcPr>
            <w:tcW w:type="dxa" w:w="181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2,300</w:t>
            </w:r>
          </w:p>
        </w:tc>
        <w:tc>
          <w:tcPr>
            <w:tcW w:type="dxa" w:w="1247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15.3%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检测与实验室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性能测试台、GC-MS/HPLC、SEM 外协、生物安全配套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1,000</w:t>
            </w:r>
          </w:p>
        </w:tc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6.7%</w:t>
            </w:r>
          </w:p>
        </w:tc>
      </w:tr>
      <w:tr>
        <w:tc>
          <w:tcPr>
            <w:tcW w:type="dxa" w:w="192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其他费用</w:t>
            </w:r>
          </w:p>
        </w:tc>
        <w:tc>
          <w:tcPr>
            <w:tcW w:type="dxa" w:w="4082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设计、工程管理、培训、预备费（约 5%）</w:t>
            </w:r>
          </w:p>
        </w:tc>
        <w:tc>
          <w:tcPr>
            <w:tcW w:type="dxa" w:w="181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1,000</w:t>
            </w:r>
          </w:p>
        </w:tc>
        <w:tc>
          <w:tcPr>
            <w:tcW w:type="dxa" w:w="1247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6.7%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合计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—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15,000</w:t>
            </w:r>
          </w:p>
        </w:tc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100%</w:t>
            </w:r>
          </w:p>
        </w:tc>
      </w:tr>
    </w:tbl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690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cape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69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  <w:jc w:val="center"/>
      </w:pPr>
      <w:r>
        <w:rPr>
          <w:rFonts w:ascii="Segoe UI" w:hAnsi="Segoe UI" w:eastAsia="微软雅黑"/>
          <w:b/>
          <w:color w:val="595959"/>
          <w:sz w:val="18"/>
        </w:rPr>
        <w:t>图 9-1  固定资产投资结构</w:t>
      </w:r>
    </w:p>
    <w:p>
      <w:pPr>
        <w:spacing w:after="180"/>
        <w:jc w:val="center"/>
      </w:pPr>
      <w:r>
        <w:rPr>
          <w:rFonts w:ascii="Segoe UI" w:hAnsi="Segoe UI" w:eastAsia="微软雅黑"/>
          <w:b w:val="0"/>
          <w:color w:val="808080"/>
          <w:sz w:val="16"/>
        </w:rPr>
        <w:t>说明：量级估算，未经供应商正式报价验证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投资结构的含义：核心工艺设备（纺丝线）占四成以上，这与 PTFE 项目中双向拉伸机组占近一半的逻辑相同——决定产品性能的那台设备，永远是最贵的。若为节省投资而降低纺丝线配置（如用国产低精度计量泵、省掉凝固浴浓度在线闭环），节省的 800–1,200 万元会在良率和一致性上以数倍代价还回去。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另一项容易被漏算的是流动资金。原料备货（尤其是进口 PSf/PVP，交期长）、在制品、成品库存与注册周期内的无收入运营，合计需 3,000–4,000 万元。这部分不在固定资产投资内，但缺了项目就转不动。</w:t>
      </w:r>
    </w:p>
    <w:p>
      <w:pPr>
        <w:keepNext/>
        <w:spacing w:before="260" w:after="120"/>
      </w:pPr>
      <w:r>
        <w:rPr>
          <w:rFonts w:ascii="Segoe UI" w:hAnsi="Segoe UI" w:eastAsia="微软雅黑"/>
          <w:b/>
          <w:color w:val="C0621B"/>
          <w:sz w:val="25"/>
        </w:rPr>
        <w:t xml:space="preserve">9.2  </w:t>
      </w:r>
      <w:r>
        <w:rPr>
          <w:rFonts w:ascii="Segoe UI" w:hAnsi="Segoe UI" w:eastAsia="微软雅黑"/>
          <w:b/>
          <w:color w:val="1F4E79"/>
          <w:sz w:val="25"/>
        </w:rPr>
        <w:t>成本结构与运营费用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36000" cy="35841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co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3584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  <w:jc w:val="center"/>
      </w:pPr>
      <w:r>
        <w:rPr>
          <w:rFonts w:ascii="Segoe UI" w:hAnsi="Segoe UI" w:eastAsia="微软雅黑"/>
          <w:b/>
          <w:color w:val="595959"/>
          <w:sz w:val="18"/>
        </w:rPr>
        <w:t>图 9-3  透析器单位制造成本结构（量级估算）</w:t>
      </w:r>
    </w:p>
    <w:p>
      <w:pPr>
        <w:spacing w:after="180"/>
        <w:jc w:val="center"/>
      </w:pPr>
      <w:r>
        <w:rPr>
          <w:rFonts w:ascii="Segoe UI" w:hAnsi="Segoe UI" w:eastAsia="微软雅黑"/>
          <w:b w:val="0"/>
          <w:color w:val="808080"/>
          <w:sz w:val="16"/>
        </w:rPr>
        <w:t>说明：用于敏感性分析的量级估算，非供应商报价</w:t>
      </w: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595959"/>
          <w:sz w:val="19"/>
        </w:rPr>
        <w:t>表 9-2  单位变动成本拆解（元/支）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175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成本项</w:t>
            </w:r>
          </w:p>
        </w:tc>
        <w:tc>
          <w:tcPr>
            <w:tcW w:type="dxa" w:w="2041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金额（元/支）</w:t>
            </w:r>
          </w:p>
        </w:tc>
        <w:tc>
          <w:tcPr>
            <w:tcW w:type="dxa" w:w="4422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膜材料（PSf/PES + PVP）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3.5</w:t>
            </w:r>
          </w:p>
        </w:tc>
        <w:tc>
          <w:tcPr>
            <w:tcW w:type="dxa" w:w="442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按进口牌号测算；国产替代可降至 2.6–3.0</w:t>
            </w:r>
          </w:p>
        </w:tc>
      </w:tr>
      <w:tr>
        <w:tc>
          <w:tcPr>
            <w:tcW w:type="dxa" w:w="317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壳体与端盖（PC/PP）</w:t>
            </w:r>
          </w:p>
        </w:tc>
        <w:tc>
          <w:tcPr>
            <w:tcW w:type="dxa" w:w="204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2.6</w:t>
            </w:r>
          </w:p>
        </w:tc>
        <w:tc>
          <w:tcPr>
            <w:tcW w:type="dxa" w:w="4422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注塑件，含模具摊销</w:t>
            </w:r>
          </w:p>
        </w:tc>
      </w:tr>
      <w:tr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封胶（PU）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1.3</w:t>
            </w:r>
          </w:p>
        </w:tc>
        <w:tc>
          <w:tcPr>
            <w:tcW w:type="dxa" w:w="442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双组分，按灌注量计</w:t>
            </w:r>
          </w:p>
        </w:tc>
      </w:tr>
      <w:tr>
        <w:tc>
          <w:tcPr>
            <w:tcW w:type="dxa" w:w="317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能耗与公用工程</w:t>
            </w:r>
          </w:p>
        </w:tc>
        <w:tc>
          <w:tcPr>
            <w:tcW w:type="dxa" w:w="204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1.9</w:t>
            </w:r>
          </w:p>
        </w:tc>
        <w:tc>
          <w:tcPr>
            <w:tcW w:type="dxa" w:w="4422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纺丝、水洗、灭菌、洁净空调</w:t>
            </w:r>
          </w:p>
        </w:tc>
      </w:tr>
      <w:tr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直接人工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1.6</w:t>
            </w:r>
          </w:p>
        </w:tc>
        <w:tc>
          <w:tcPr>
            <w:tcW w:type="dxa" w:w="442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自动化程度较高，人工占比低</w:t>
            </w:r>
          </w:p>
        </w:tc>
      </w:tr>
      <w:tr>
        <w:tc>
          <w:tcPr>
            <w:tcW w:type="dxa" w:w="317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包装与灭菌耗材</w:t>
            </w:r>
          </w:p>
        </w:tc>
        <w:tc>
          <w:tcPr>
            <w:tcW w:type="dxa" w:w="204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1.1</w:t>
            </w:r>
          </w:p>
        </w:tc>
        <w:tc>
          <w:tcPr>
            <w:tcW w:type="dxa" w:w="4422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无菌屏障袋、透析膜保湿</w:t>
            </w:r>
          </w:p>
        </w:tc>
      </w:tr>
      <w:tr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检测与质量成本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0.9</w:t>
            </w:r>
          </w:p>
        </w:tc>
        <w:tc>
          <w:tcPr>
            <w:tcW w:type="dxa" w:w="442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抽检、在线监测耗材</w:t>
            </w:r>
          </w:p>
        </w:tc>
      </w:tr>
      <w:tr>
        <w:tc>
          <w:tcPr>
            <w:tcW w:type="dxa" w:w="317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其他（损耗、辅料）</w:t>
            </w:r>
          </w:p>
        </w:tc>
        <w:tc>
          <w:tcPr>
            <w:tcW w:type="dxa" w:w="204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3.1</w:t>
            </w:r>
          </w:p>
        </w:tc>
        <w:tc>
          <w:tcPr>
            <w:tcW w:type="dxa" w:w="4422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含过程损耗与备件</w:t>
            </w:r>
          </w:p>
        </w:tc>
      </w:tr>
      <w:tr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合计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16.0</w:t>
            </w:r>
          </w:p>
        </w:tc>
        <w:tc>
          <w:tcPr>
            <w:tcW w:type="dxa" w:w="442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基准情景取值</w:t>
            </w:r>
          </w:p>
        </w:tc>
      </w:tr>
    </w:tbl>
    <w:p>
      <w:pPr>
        <w:keepNext/>
        <w:spacing w:before="180" w:after="60"/>
      </w:pPr>
      <w:r>
        <w:rPr>
          <w:rFonts w:ascii="Segoe UI" w:hAnsi="Segoe UI" w:eastAsia="微软雅黑"/>
          <w:b/>
          <w:color w:val="595959"/>
          <w:sz w:val="19"/>
        </w:rPr>
        <w:t>表 9-3  年运营费用估算（基准产能）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494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费用类别</w:t>
            </w:r>
          </w:p>
        </w:tc>
        <w:tc>
          <w:tcPr>
            <w:tcW w:type="dxa" w:w="2608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估算（万元/年）</w:t>
            </w:r>
          </w:p>
        </w:tc>
        <w:tc>
          <w:tcPr>
            <w:tcW w:type="dxa" w:w="4535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计算依据</w:t>
            </w:r>
          </w:p>
        </w:tc>
      </w:tr>
      <w:tr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折旧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1,500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15,000 万元 / 10 年直线</w:t>
            </w:r>
          </w:p>
        </w:tc>
      </w:tr>
      <w:tr>
        <w:tc>
          <w:tcPr>
            <w:tcW w:type="dxa" w:w="249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固定制造费用</w:t>
            </w:r>
          </w:p>
        </w:tc>
        <w:tc>
          <w:tcPr>
            <w:tcW w:type="dxa" w:w="260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3,500</w:t>
            </w:r>
          </w:p>
        </w:tc>
        <w:tc>
          <w:tcPr>
            <w:tcW w:type="dxa" w:w="453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厂房维护、管理人员、设备保养、洁净系统运行</w:t>
            </w:r>
          </w:p>
        </w:tc>
      </w:tr>
      <w:tr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销售费用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按收入 12%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集采渠道为主，经销商返利与学术推广</w:t>
            </w:r>
          </w:p>
        </w:tc>
      </w:tr>
      <w:tr>
        <w:tc>
          <w:tcPr>
            <w:tcW w:type="dxa" w:w="249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管理费用</w:t>
            </w:r>
          </w:p>
        </w:tc>
        <w:tc>
          <w:tcPr>
            <w:tcW w:type="dxa" w:w="260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按收入 6%</w:t>
            </w:r>
          </w:p>
        </w:tc>
        <w:tc>
          <w:tcPr>
            <w:tcW w:type="dxa" w:w="453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研发费用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按收入 5%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工艺迭代与新品开发</w:t>
            </w:r>
          </w:p>
        </w:tc>
      </w:tr>
      <w:tr>
        <w:tc>
          <w:tcPr>
            <w:tcW w:type="dxa" w:w="249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合计（固定部分）</w:t>
            </w:r>
          </w:p>
        </w:tc>
        <w:tc>
          <w:tcPr>
            <w:tcW w:type="dxa" w:w="260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5,000 + 收入×23%</w:t>
            </w:r>
          </w:p>
        </w:tc>
        <w:tc>
          <w:tcPr>
            <w:tcW w:type="dxa" w:w="4535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—</w:t>
            </w:r>
          </w:p>
        </w:tc>
      </w:tr>
    </w:tbl>
    <w:p>
      <w:pPr>
        <w:keepNext/>
        <w:spacing w:before="260" w:after="120"/>
      </w:pPr>
      <w:r>
        <w:rPr>
          <w:rFonts w:ascii="Segoe UI" w:hAnsi="Segoe UI" w:eastAsia="微软雅黑"/>
          <w:b/>
          <w:color w:val="C0621B"/>
          <w:sz w:val="25"/>
        </w:rPr>
        <w:t xml:space="preserve">9.3  </w:t>
      </w:r>
      <w:r>
        <w:rPr>
          <w:rFonts w:ascii="Segoe UI" w:hAnsi="Segoe UI" w:eastAsia="微软雅黑"/>
          <w:b/>
          <w:color w:val="1F4E79"/>
          <w:sz w:val="25"/>
        </w:rPr>
        <w:t>三情景经济性评价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三个情景的差异只在三个变量：良率、出厂价、单位变动成本。其余假设（产能 1,200 万支投料、折旧 1,500 万元、固定制造费用 3,500 万元、期间费用率 23%、所得税 15%）保持一致。</w:t>
      </w: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595959"/>
          <w:sz w:val="19"/>
        </w:rPr>
        <w:t>表 9-4  三情景测算结果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3402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2041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保守</w:t>
            </w:r>
          </w:p>
        </w:tc>
        <w:tc>
          <w:tcPr>
            <w:tcW w:type="dxa" w:w="2041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基准</w:t>
            </w:r>
          </w:p>
        </w:tc>
        <w:tc>
          <w:tcPr>
            <w:tcW w:type="dxa" w:w="2154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乐观</w:t>
            </w:r>
          </w:p>
        </w:tc>
      </w:tr>
      <w:tr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良率</w:t>
            </w:r>
          </w:p>
        </w:tc>
        <w:tc>
          <w:tcPr>
            <w:tcW w:type="dxa" w:w="204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82%</w:t>
            </w:r>
          </w:p>
        </w:tc>
        <w:tc>
          <w:tcPr>
            <w:tcW w:type="dxa" w:w="204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88%</w:t>
            </w:r>
          </w:p>
        </w:tc>
        <w:tc>
          <w:tcPr>
            <w:tcW w:type="dxa" w:w="215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93%</w:t>
            </w:r>
          </w:p>
        </w:tc>
      </w:tr>
      <w:tr>
        <w:tc>
          <w:tcPr>
            <w:tcW w:type="dxa" w:w="3402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有效产量（万支）</w:t>
            </w:r>
          </w:p>
        </w:tc>
        <w:tc>
          <w:tcPr>
            <w:tcW w:type="dxa" w:w="2041"/>
            <w:shd w:val="clear" w:color="auto" w:fill="ED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984</w:t>
            </w:r>
          </w:p>
        </w:tc>
        <w:tc>
          <w:tcPr>
            <w:tcW w:type="dxa" w:w="2041"/>
            <w:shd w:val="clear" w:color="auto" w:fill="ED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1,056</w:t>
            </w:r>
          </w:p>
        </w:tc>
        <w:tc>
          <w:tcPr>
            <w:tcW w:type="dxa" w:w="2154"/>
            <w:shd w:val="clear" w:color="auto" w:fill="ED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1,116</w:t>
            </w:r>
          </w:p>
        </w:tc>
      </w:tr>
      <w:tr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出厂价（元/支）</w:t>
            </w:r>
          </w:p>
        </w:tc>
        <w:tc>
          <w:tcPr>
            <w:tcW w:type="dxa" w:w="204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35.0</w:t>
            </w:r>
          </w:p>
        </w:tc>
        <w:tc>
          <w:tcPr>
            <w:tcW w:type="dxa" w:w="204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38.0</w:t>
            </w:r>
          </w:p>
        </w:tc>
        <w:tc>
          <w:tcPr>
            <w:tcW w:type="dxa" w:w="215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42.0</w:t>
            </w:r>
          </w:p>
        </w:tc>
      </w:tr>
      <w:tr>
        <w:tc>
          <w:tcPr>
            <w:tcW w:type="dxa" w:w="3402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单位变动成本（元/支）</w:t>
            </w:r>
          </w:p>
        </w:tc>
        <w:tc>
          <w:tcPr>
            <w:tcW w:type="dxa" w:w="2041"/>
            <w:shd w:val="clear" w:color="auto" w:fill="ED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17.0</w:t>
            </w:r>
          </w:p>
        </w:tc>
        <w:tc>
          <w:tcPr>
            <w:tcW w:type="dxa" w:w="2041"/>
            <w:shd w:val="clear" w:color="auto" w:fill="ED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16.0</w:t>
            </w:r>
          </w:p>
        </w:tc>
        <w:tc>
          <w:tcPr>
            <w:tcW w:type="dxa" w:w="2154"/>
            <w:shd w:val="clear" w:color="auto" w:fill="ED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15.0</w:t>
            </w:r>
          </w:p>
        </w:tc>
      </w:tr>
      <w:tr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营业收入（万元）</w:t>
            </w:r>
          </w:p>
        </w:tc>
        <w:tc>
          <w:tcPr>
            <w:tcW w:type="dxa" w:w="204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34,440</w:t>
            </w:r>
          </w:p>
        </w:tc>
        <w:tc>
          <w:tcPr>
            <w:tcW w:type="dxa" w:w="204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40,128</w:t>
            </w:r>
          </w:p>
        </w:tc>
        <w:tc>
          <w:tcPr>
            <w:tcW w:type="dxa" w:w="215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46,872</w:t>
            </w:r>
          </w:p>
        </w:tc>
      </w:tr>
      <w:tr>
        <w:tc>
          <w:tcPr>
            <w:tcW w:type="dxa" w:w="3402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营业成本（万元）</w:t>
            </w:r>
          </w:p>
        </w:tc>
        <w:tc>
          <w:tcPr>
            <w:tcW w:type="dxa" w:w="2041"/>
            <w:shd w:val="clear" w:color="auto" w:fill="ED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25,400</w:t>
            </w:r>
          </w:p>
        </w:tc>
        <w:tc>
          <w:tcPr>
            <w:tcW w:type="dxa" w:w="2041"/>
            <w:shd w:val="clear" w:color="auto" w:fill="ED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24,200</w:t>
            </w:r>
          </w:p>
        </w:tc>
        <w:tc>
          <w:tcPr>
            <w:tcW w:type="dxa" w:w="2154"/>
            <w:shd w:val="clear" w:color="auto" w:fill="ED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23,000</w:t>
            </w:r>
          </w:p>
        </w:tc>
      </w:tr>
      <w:tr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毛利（万元）</w:t>
            </w:r>
          </w:p>
        </w:tc>
        <w:tc>
          <w:tcPr>
            <w:tcW w:type="dxa" w:w="204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9,040</w:t>
            </w:r>
          </w:p>
        </w:tc>
        <w:tc>
          <w:tcPr>
            <w:tcW w:type="dxa" w:w="204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15,928</w:t>
            </w:r>
          </w:p>
        </w:tc>
        <w:tc>
          <w:tcPr>
            <w:tcW w:type="dxa" w:w="215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23,872</w:t>
            </w:r>
          </w:p>
        </w:tc>
      </w:tr>
      <w:tr>
        <w:tc>
          <w:tcPr>
            <w:tcW w:type="dxa" w:w="3402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毛利率</w:t>
            </w:r>
          </w:p>
        </w:tc>
        <w:tc>
          <w:tcPr>
            <w:tcW w:type="dxa" w:w="2041"/>
            <w:shd w:val="clear" w:color="auto" w:fill="ED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26.2%</w:t>
            </w:r>
          </w:p>
        </w:tc>
        <w:tc>
          <w:tcPr>
            <w:tcW w:type="dxa" w:w="2041"/>
            <w:shd w:val="clear" w:color="auto" w:fill="ED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39.7%</w:t>
            </w:r>
          </w:p>
        </w:tc>
        <w:tc>
          <w:tcPr>
            <w:tcW w:type="dxa" w:w="2154"/>
            <w:shd w:val="clear" w:color="auto" w:fill="ED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50.9%</w:t>
            </w:r>
          </w:p>
        </w:tc>
      </w:tr>
      <w:tr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期间费用（万元）</w:t>
            </w:r>
          </w:p>
        </w:tc>
        <w:tc>
          <w:tcPr>
            <w:tcW w:type="dxa" w:w="204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7,921</w:t>
            </w:r>
          </w:p>
        </w:tc>
        <w:tc>
          <w:tcPr>
            <w:tcW w:type="dxa" w:w="204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9,229</w:t>
            </w:r>
          </w:p>
        </w:tc>
        <w:tc>
          <w:tcPr>
            <w:tcW w:type="dxa" w:w="215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10,781</w:t>
            </w:r>
          </w:p>
        </w:tc>
      </w:tr>
      <w:tr>
        <w:tc>
          <w:tcPr>
            <w:tcW w:type="dxa" w:w="3402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净利润（万元）</w:t>
            </w:r>
          </w:p>
        </w:tc>
        <w:tc>
          <w:tcPr>
            <w:tcW w:type="dxa" w:w="2041"/>
            <w:shd w:val="clear" w:color="auto" w:fill="ED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951</w:t>
            </w:r>
          </w:p>
        </w:tc>
        <w:tc>
          <w:tcPr>
            <w:tcW w:type="dxa" w:w="2041"/>
            <w:shd w:val="clear" w:color="auto" w:fill="ED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5,694</w:t>
            </w:r>
          </w:p>
        </w:tc>
        <w:tc>
          <w:tcPr>
            <w:tcW w:type="dxa" w:w="2154"/>
            <w:shd w:val="clear" w:color="auto" w:fill="ED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11,128</w:t>
            </w:r>
          </w:p>
        </w:tc>
      </w:tr>
      <w:tr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净利率</w:t>
            </w:r>
          </w:p>
        </w:tc>
        <w:tc>
          <w:tcPr>
            <w:tcW w:type="dxa" w:w="204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2.8%</w:t>
            </w:r>
          </w:p>
        </w:tc>
        <w:tc>
          <w:tcPr>
            <w:tcW w:type="dxa" w:w="204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14.2%</w:t>
            </w:r>
          </w:p>
        </w:tc>
        <w:tc>
          <w:tcPr>
            <w:tcW w:type="dxa" w:w="215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23.7%</w:t>
            </w:r>
          </w:p>
        </w:tc>
      </w:tr>
      <w:tr>
        <w:tc>
          <w:tcPr>
            <w:tcW w:type="dxa" w:w="3402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投资回收期（年）</w:t>
            </w:r>
          </w:p>
        </w:tc>
        <w:tc>
          <w:tcPr>
            <w:tcW w:type="dxa" w:w="2041"/>
            <w:shd w:val="clear" w:color="auto" w:fill="ED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6.1</w:t>
            </w:r>
          </w:p>
        </w:tc>
        <w:tc>
          <w:tcPr>
            <w:tcW w:type="dxa" w:w="2041"/>
            <w:shd w:val="clear" w:color="auto" w:fill="ED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2.1</w:t>
            </w:r>
          </w:p>
        </w:tc>
        <w:tc>
          <w:tcPr>
            <w:tcW w:type="dxa" w:w="2154"/>
            <w:shd w:val="clear" w:color="auto" w:fill="ED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1.2</w:t>
            </w:r>
          </w:p>
        </w:tc>
      </w:tr>
      <w:tr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投资回报率 ROI</w:t>
            </w:r>
          </w:p>
        </w:tc>
        <w:tc>
          <w:tcPr>
            <w:tcW w:type="dxa" w:w="204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6.3%</w:t>
            </w:r>
          </w:p>
        </w:tc>
        <w:tc>
          <w:tcPr>
            <w:tcW w:type="dxa" w:w="204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38.0%</w:t>
            </w:r>
          </w:p>
        </w:tc>
        <w:tc>
          <w:tcPr>
            <w:tcW w:type="dxa" w:w="215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74.2%</w:t>
            </w:r>
          </w:p>
        </w:tc>
      </w:tr>
    </w:tbl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9558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scenar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55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  <w:jc w:val="center"/>
      </w:pPr>
      <w:r>
        <w:rPr>
          <w:rFonts w:ascii="Segoe UI" w:hAnsi="Segoe UI" w:eastAsia="微软雅黑"/>
          <w:b/>
          <w:color w:val="595959"/>
          <w:sz w:val="18"/>
        </w:rPr>
        <w:t>图 9-2  三情景净利率对比</w:t>
      </w:r>
    </w:p>
    <w:p>
      <w:pPr>
        <w:spacing w:after="180"/>
        <w:jc w:val="center"/>
      </w:pPr>
      <w:r>
        <w:rPr>
          <w:rFonts w:ascii="Segoe UI" w:hAnsi="Segoe UI" w:eastAsia="微软雅黑"/>
          <w:b w:val="0"/>
          <w:color w:val="808080"/>
          <w:sz w:val="16"/>
        </w:rPr>
        <w:t>说明：差异仅来自良率、出厂价、单位变动成本三变量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三个情景的跨度说明了这个项目的本质：它不是一个“高毛利、高确定性”的项目，而是一个“良率决定生死”的制造项目。保守情景（良率 82%、售价 35 元）净利率仅 2.8%，接近亏损；基准情景（88%、38 元）净利率 14.2%，与行业头部（威高 12.8%、三鑫 16.2%）相当；乐观情景（93%、42 元）则显著优于行业平均。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盈亏平衡点测算：按基准情景的单位边际贡献（38×0.88−16 = 17.44 元/支投料），覆盖固定成本（5,000 万元）与期间费用后，盈亏平衡投料量约 513 万支/年，对应有效产出约 451 万支，即产能利用率约 43%。这个数字不算高，意味着项目有较厚的安全垫——但前提是良率不低于 82%。</w:t>
      </w:r>
    </w:p>
    <w:p>
      <w:pPr>
        <w:keepNext/>
        <w:spacing w:before="180" w:after="80"/>
      </w:pPr>
      <w:r>
        <w:rPr>
          <w:rFonts w:ascii="Segoe UI" w:hAnsi="Segoe UI" w:eastAsia="微软雅黑"/>
          <w:b/>
          <w:color w:val="1F3B57"/>
          <w:sz w:val="22"/>
        </w:rPr>
        <w:t>敏感性分析</w:t>
      </w: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595959"/>
          <w:sz w:val="19"/>
        </w:rPr>
        <w:t>表 9-5  关键变量敏感性（对净利率的影响，基准=14.2%）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94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变量</w:t>
            </w:r>
          </w:p>
        </w:tc>
        <w:tc>
          <w:tcPr>
            <w:tcW w:type="dxa" w:w="2381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变动幅度</w:t>
            </w:r>
          </w:p>
        </w:tc>
        <w:tc>
          <w:tcPr>
            <w:tcW w:type="dxa" w:w="2494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净利率变化</w:t>
            </w:r>
          </w:p>
        </w:tc>
        <w:tc>
          <w:tcPr>
            <w:tcW w:type="dxa" w:w="2268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敏感度判断</w:t>
            </w:r>
          </w:p>
        </w:tc>
      </w:tr>
      <w:tr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良率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−5 个百分点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降至约 9.4%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高敏感（首要变量）</w:t>
            </w:r>
          </w:p>
        </w:tc>
      </w:tr>
      <w:tr>
        <w:tc>
          <w:tcPr>
            <w:tcW w:type="dxa" w:w="249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出厂价</w:t>
            </w:r>
          </w:p>
        </w:tc>
        <w:tc>
          <w:tcPr>
            <w:tcW w:type="dxa" w:w="238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−3 元/支</w:t>
            </w:r>
          </w:p>
        </w:tc>
        <w:tc>
          <w:tcPr>
            <w:tcW w:type="dxa" w:w="249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降至约 8.5%</w:t>
            </w:r>
          </w:p>
        </w:tc>
        <w:tc>
          <w:tcPr>
            <w:tcW w:type="dxa" w:w="226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高敏感</w:t>
            </w:r>
          </w:p>
        </w:tc>
      </w:tr>
      <w:tr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单位变动成本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+2 元/支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降至约 8.6%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高敏感</w:t>
            </w:r>
          </w:p>
        </w:tc>
      </w:tr>
      <w:tr>
        <w:tc>
          <w:tcPr>
            <w:tcW w:type="dxa" w:w="249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产能利用率</w:t>
            </w:r>
          </w:p>
        </w:tc>
        <w:tc>
          <w:tcPr>
            <w:tcW w:type="dxa" w:w="238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−20%</w:t>
            </w:r>
          </w:p>
        </w:tc>
        <w:tc>
          <w:tcPr>
            <w:tcW w:type="dxa" w:w="249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降至约 9.8%</w:t>
            </w:r>
          </w:p>
        </w:tc>
        <w:tc>
          <w:tcPr>
            <w:tcW w:type="dxa" w:w="226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中高敏感</w:t>
            </w:r>
          </w:p>
        </w:tc>
      </w:tr>
      <w:tr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期间费用率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+5 个百分点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降至约 10.6%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中敏感</w:t>
            </w:r>
          </w:p>
        </w:tc>
      </w:tr>
    </w:tbl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敏感度排序给出明确的管理重点：良率第一，价格第二，成本第三。这与直觉略有不同——多数人会把“降成本”放在首位，但测算显示，良率每降 5 个百分点，净利率下滑约 4.8 个百分点，其影响超过单位成本上升 2 元。原因很简单：良率损失是“投入了全部成本却拿不到产出”，杠杆效应最大。</w:t>
      </w:r>
    </w:p>
    <w:p>
      <w:pPr>
        <w:spacing w:before="160" w:after="40"/>
        <w:ind w:left="113"/>
        <w:shd w:val="clear" w:color="auto" w:fill="FFF6E9"/>
        <w:pBdr>
          <w:left w:val="single" w:sz="16" w:space="6" w:color="C0621B"/>
        </w:pBdr>
      </w:pPr>
      <w:r>
        <w:rPr>
          <w:rFonts w:ascii="Segoe UI" w:hAnsi="Segoe UI" w:eastAsia="微软雅黑"/>
          <w:b/>
          <w:color w:val="C0621B"/>
          <w:sz w:val="19"/>
        </w:rPr>
        <w:t xml:space="preserve">  一个必须正视的价格现实  </w:t>
      </w:r>
    </w:p>
    <w:p>
      <w:pPr>
        <w:spacing w:after="180"/>
        <w:ind w:left="113"/>
        <w:jc w:val="both"/>
        <w:shd w:val="clear" w:color="auto" w:fill="FFF6E9"/>
        <w:pBdr>
          <w:left w:val="single" w:sz="16" w:space="6" w:color="C0621B"/>
        </w:pBdr>
      </w:pPr>
      <w:r>
        <w:rPr>
          <w:rFonts w:ascii="Segoe UI" w:hAnsi="Segoe UI" w:eastAsia="微软雅黑"/>
          <w:b w:val="0"/>
          <w:color w:val="333333"/>
          <w:sz w:val="19"/>
        </w:rPr>
        <w:t xml:space="preserve">  基准情景假设出厂价 38 元，对应终端 55 元。若未来集采接续进一步压价（如终端降至 45 元、出厂降至 31 元），在良率 88%、成本 16 元的条件下，净利率将降至约 5%。这意味着项目的经济性对政策高度敏感，必须在投资决策时把“价格再降 20%”作为压力测试情景，而非尾部风险。</w:t>
      </w:r>
    </w:p>
    <w:p>
      <w:r>
        <w:br w:type="page"/>
      </w:r>
    </w:p>
    <w:p>
      <w:pPr>
        <w:keepNext/>
        <w:spacing w:before="400" w:after="180"/>
        <w:pBdr>
          <w:bottom w:val="single" w:sz="14" w:space="6" w:color="1F3B57"/>
        </w:pBdr>
      </w:pPr>
      <w:r>
        <w:rPr>
          <w:rFonts w:ascii="Segoe UI" w:hAnsi="Segoe UI" w:eastAsia="微软雅黑"/>
          <w:b/>
          <w:color w:val="1F4E79"/>
          <w:sz w:val="34"/>
        </w:rPr>
        <w:t xml:space="preserve">10  </w:t>
      </w:r>
      <w:r>
        <w:rPr>
          <w:rFonts w:ascii="Segoe UI" w:hAnsi="Segoe UI" w:eastAsia="微软雅黑"/>
          <w:b/>
          <w:color w:val="1F3B57"/>
          <w:sz w:val="34"/>
        </w:rPr>
        <w:t>风险分析与决策建议</w:t>
      </w:r>
    </w:p>
    <w:p>
      <w:pPr>
        <w:keepNext/>
        <w:spacing w:before="260" w:after="120"/>
      </w:pPr>
      <w:r>
        <w:rPr>
          <w:rFonts w:ascii="Segoe UI" w:hAnsi="Segoe UI" w:eastAsia="微软雅黑"/>
          <w:b/>
          <w:color w:val="C0621B"/>
          <w:sz w:val="25"/>
        </w:rPr>
        <w:t xml:space="preserve">10.1  </w:t>
      </w:r>
      <w:r>
        <w:rPr>
          <w:rFonts w:ascii="Segoe UI" w:hAnsi="Segoe UI" w:eastAsia="微软雅黑"/>
          <w:b/>
          <w:color w:val="1F4E79"/>
          <w:sz w:val="25"/>
        </w:rPr>
        <w:t>风险清单与应对</w:t>
      </w: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595959"/>
          <w:sz w:val="19"/>
        </w:rPr>
        <w:t>表 10-1  主要风险与应对措施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701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风险类别</w:t>
            </w:r>
          </w:p>
        </w:tc>
        <w:tc>
          <w:tcPr>
            <w:tcW w:type="dxa" w:w="2948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具体风险</w:t>
            </w:r>
          </w:p>
        </w:tc>
        <w:tc>
          <w:tcPr>
            <w:tcW w:type="dxa" w:w="2381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影响</w:t>
            </w:r>
          </w:p>
        </w:tc>
        <w:tc>
          <w:tcPr>
            <w:tcW w:type="dxa" w:w="2608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应对措施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技术风险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纺丝工艺长期调不稳，良率卡在 80% 以下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净利率降至 3% 以下，回收期超 6 年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分阶段门禁；M6 未达小试门禁即重新评估配方路线</w:t>
            </w:r>
          </w:p>
        </w:tc>
      </w:tr>
      <w:tr>
        <w:tc>
          <w:tcPr>
            <w:tcW w:type="dxa" w:w="170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技术风险</w:t>
            </w:r>
          </w:p>
        </w:tc>
        <w:tc>
          <w:tcPr>
            <w:tcW w:type="dxa" w:w="294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残留溶剂反复超标</w:t>
            </w:r>
          </w:p>
        </w:tc>
        <w:tc>
          <w:tcPr>
            <w:tcW w:type="dxa" w:w="238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注册延期 6–12 个月</w:t>
            </w:r>
          </w:p>
        </w:tc>
        <w:tc>
          <w:tcPr>
            <w:tcW w:type="dxa" w:w="260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水洗段按 130% 余量设计；M12 前完成方法学与初步数据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质量风险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灌封窜液批次事故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召回、信誉损失（重大）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100% 密合性检验；在线灌注重量监测；留样追溯</w:t>
            </w:r>
          </w:p>
        </w:tc>
      </w:tr>
      <w:tr>
        <w:tc>
          <w:tcPr>
            <w:tcW w:type="dxa" w:w="170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市场风险</w:t>
            </w:r>
          </w:p>
        </w:tc>
        <w:tc>
          <w:tcPr>
            <w:tcW w:type="dxa" w:w="294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集采接续进一步降价</w:t>
            </w:r>
          </w:p>
        </w:tc>
        <w:tc>
          <w:tcPr>
            <w:tcW w:type="dxa" w:w="238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净利率降至 5% 或以下</w:t>
            </w:r>
          </w:p>
        </w:tc>
        <w:tc>
          <w:tcPr>
            <w:tcW w:type="dxa" w:w="260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以 B2B 膜丝供应为主，降低终端价格暴露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市场风险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头部企业自产膜不外购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B2B 客户开发受阻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优先切入中小透析器厂、整机厂、海外客户</w:t>
            </w:r>
          </w:p>
        </w:tc>
      </w:tr>
      <w:tr>
        <w:tc>
          <w:tcPr>
            <w:tcW w:type="dxa" w:w="170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供应链风险</w:t>
            </w:r>
          </w:p>
        </w:tc>
        <w:tc>
          <w:tcPr>
            <w:tcW w:type="dxa" w:w="294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PSf/PVP 进口受限或涨价</w:t>
            </w:r>
          </w:p>
        </w:tc>
        <w:tc>
          <w:tcPr>
            <w:tcW w:type="dxa" w:w="238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成本上升、断供</w:t>
            </w:r>
          </w:p>
        </w:tc>
        <w:tc>
          <w:tcPr>
            <w:tcW w:type="dxa" w:w="260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双源认证；国产替代同步验证（3–5 年）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法规风险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注册周期超预期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资金占用延长 12 个月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注册团队前置介入；注册检验批提前排产</w:t>
            </w:r>
          </w:p>
        </w:tc>
      </w:tr>
      <w:tr>
        <w:tc>
          <w:tcPr>
            <w:tcW w:type="dxa" w:w="170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人才风险</w:t>
            </w:r>
          </w:p>
        </w:tc>
        <w:tc>
          <w:tcPr>
            <w:tcW w:type="dxa" w:w="294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缺纺丝工艺工程师</w:t>
            </w:r>
          </w:p>
        </w:tc>
        <w:tc>
          <w:tcPr>
            <w:tcW w:type="dxa" w:w="238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调试周期翻倍</w:t>
            </w:r>
          </w:p>
        </w:tc>
        <w:tc>
          <w:tcPr>
            <w:tcW w:type="dxa" w:w="2608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引进有膜行业经验的工艺负责人；与高校联合培养</w:t>
            </w:r>
          </w:p>
        </w:tc>
      </w:tr>
    </w:tbl>
    <w:p>
      <w:pPr>
        <w:keepNext/>
        <w:spacing w:before="260" w:after="120"/>
      </w:pPr>
      <w:r>
        <w:rPr>
          <w:rFonts w:ascii="Segoe UI" w:hAnsi="Segoe UI" w:eastAsia="微软雅黑"/>
          <w:b/>
          <w:color w:val="C0621B"/>
          <w:sz w:val="25"/>
        </w:rPr>
        <w:t xml:space="preserve">10.2  </w:t>
      </w:r>
      <w:r>
        <w:rPr>
          <w:rFonts w:ascii="Segoe UI" w:hAnsi="Segoe UI" w:eastAsia="微软雅黑"/>
          <w:b/>
          <w:color w:val="1F4E79"/>
          <w:sz w:val="25"/>
        </w:rPr>
        <w:t>阶段性决策门禁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建议设置四道门禁，每道门禁都对应“继续/调整/终止”的明确判断，避免项目在错误方向上持续投入。</w:t>
      </w: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595959"/>
          <w:sz w:val="19"/>
        </w:rPr>
        <w:t>表 10-2  决策门禁设置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9D4"/>
          <w:left w:val="single" w:sz="4" w:space="0" w:color="BFC9D4"/>
          <w:bottom w:val="single" w:sz="4" w:space="0" w:color="BFC9D4"/>
          <w:right w:val="single" w:sz="4" w:space="0" w:color="BFC9D4"/>
          <w:insideH w:val="single" w:sz="4" w:space="0" w:color="BFC9D4"/>
          <w:insideV w:val="single" w:sz="4" w:space="0" w:color="BFC9D4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814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门禁</w:t>
            </w:r>
          </w:p>
        </w:tc>
        <w:tc>
          <w:tcPr>
            <w:tcW w:type="dxa" w:w="1361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时点</w:t>
            </w:r>
          </w:p>
        </w:tc>
        <w:tc>
          <w:tcPr>
            <w:tcW w:type="dxa" w:w="3969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核心判据</w:t>
            </w:r>
          </w:p>
        </w:tc>
        <w:tc>
          <w:tcPr>
            <w:tcW w:type="dxa" w:w="2494"/>
            <w:shd w:val="clear" w:color="auto" w:fill="1F3B57"/>
          </w:tcPr>
          <w:p>
            <w:pPr>
              <w:spacing w:after="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未通过时的动作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G1 配方门禁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M6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截面形态达标 + 尿素清除率≥260 + 白蛋白筛分&lt;0.01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更换配方路线（固含量/凝固浴体系），或延后 3 个月</w:t>
            </w:r>
          </w:p>
        </w:tc>
      </w:tr>
      <w:tr>
        <w:tc>
          <w:tcPr>
            <w:tcW w:type="dxa" w:w="181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G2 放大门禁</w:t>
            </w:r>
          </w:p>
        </w:tc>
        <w:tc>
          <w:tcPr>
            <w:tcW w:type="dxa" w:w="136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M14</w:t>
            </w:r>
          </w:p>
        </w:tc>
        <w:tc>
          <w:tcPr>
            <w:tcW w:type="dxa" w:w="3969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连续 72 h 无断丝 + 批间 CV&lt;8% + 成品通过主要性能项</w:t>
            </w:r>
          </w:p>
        </w:tc>
        <w:tc>
          <w:tcPr>
            <w:tcW w:type="dxa" w:w="249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暂停设备追加投资，先解决工艺一致性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G3 注册门禁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M20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注册检验报告取得 + 生物学评价无发补重大问题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调整注册策略（如先做中通量再报高通量）</w:t>
            </w:r>
          </w:p>
        </w:tc>
      </w:tr>
      <w:tr>
        <w:tc>
          <w:tcPr>
            <w:tcW w:type="dxa" w:w="181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/>
                <w:color w:val="1F3B57"/>
                <w:sz w:val="16"/>
              </w:rPr>
              <w:t>G4 量产门禁</w:t>
            </w:r>
          </w:p>
        </w:tc>
        <w:tc>
          <w:tcPr>
            <w:tcW w:type="dxa" w:w="1361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M24</w:t>
            </w:r>
          </w:p>
        </w:tc>
        <w:tc>
          <w:tcPr>
            <w:tcW w:type="dxa" w:w="3969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连续三批全项合格 + 良率≥88% + 客户送样通过</w:t>
            </w:r>
          </w:p>
        </w:tc>
        <w:tc>
          <w:tcPr>
            <w:tcW w:type="dxa" w:w="2494"/>
            <w:shd w:val="clear" w:color="auto" w:fill="EDF2F7"/>
          </w:tcPr>
          <w:p>
            <w:pPr>
              <w:spacing w:after="0" w:line="276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小批量生产，暂缓产能爬坡</w:t>
            </w:r>
          </w:p>
        </w:tc>
      </w:tr>
    </w:tbl>
    <w:p>
      <w:pPr>
        <w:keepNext/>
        <w:spacing w:before="260" w:after="120"/>
      </w:pPr>
      <w:r>
        <w:rPr>
          <w:rFonts w:ascii="Segoe UI" w:hAnsi="Segoe UI" w:eastAsia="微软雅黑"/>
          <w:b/>
          <w:color w:val="C0621B"/>
          <w:sz w:val="25"/>
        </w:rPr>
        <w:t xml:space="preserve">10.3  </w:t>
      </w:r>
      <w:r>
        <w:rPr>
          <w:rFonts w:ascii="Segoe UI" w:hAnsi="Segoe UI" w:eastAsia="微软雅黑"/>
          <w:b/>
          <w:color w:val="1F4E79"/>
          <w:sz w:val="25"/>
        </w:rPr>
        <w:t>总体结论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技术可行性成立。干湿法 NIPS 纺丝是成熟且唯一的产业化路线，参数窗口明确，国内已有企业跑通，本项目不存在“路线性失败”的可能，只存在“执行性延期”的风险。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经济可行性成立但需接受薄利现实。基准情景净利率 14.2%、回收期 2.1 年，与行业头部相当；但保守情景净利率仅 2.8%，说明项目对良率高度敏感。决策者必须接受“这是一个制造业项目，不是技术溢价项目”的定位。</w:t>
      </w:r>
    </w:p>
    <w:p>
      <w:pPr>
        <w:spacing w:after="100"/>
        <w:ind w:firstLine="420"/>
        <w:jc w:val="both"/>
      </w:pPr>
      <w:r>
        <w:rPr>
          <w:rFonts w:ascii="Segoe UI" w:hAnsi="Segoe UI" w:eastAsia="微软雅黑"/>
          <w:b w:val="0"/>
          <w:sz w:val="21"/>
        </w:rPr>
        <w:t>战略价值大于财务价值。本项目的真实意义在于打通膜材料与膜制造的自主能力——这既是威高年报中明确披露的供应链短板，也是国产透析器向高端谱（MCO/HCO）升级的前提。若仅以单项目财务回报衡量，其吸引力有限；若放在“血液净化全链条自主可控”的框架下，其战略权重明显上升。</w:t>
      </w:r>
    </w:p>
    <w:p>
      <w:pPr>
        <w:spacing w:before="160" w:after="40"/>
        <w:ind w:left="113"/>
        <w:shd w:val="clear" w:color="auto" w:fill="FFF6E9"/>
        <w:pBdr>
          <w:left w:val="single" w:sz="16" w:space="6" w:color="C0621B"/>
        </w:pBdr>
      </w:pPr>
      <w:r>
        <w:rPr>
          <w:rFonts w:ascii="Segoe UI" w:hAnsi="Segoe UI" w:eastAsia="微软雅黑"/>
          <w:b/>
          <w:color w:val="C0621B"/>
          <w:sz w:val="19"/>
        </w:rPr>
        <w:t xml:space="preserve">  给决策层的三条建议  </w:t>
      </w:r>
    </w:p>
    <w:p>
      <w:pPr>
        <w:spacing w:after="180"/>
        <w:ind w:left="113"/>
        <w:jc w:val="both"/>
        <w:shd w:val="clear" w:color="auto" w:fill="FFF6E9"/>
        <w:pBdr>
          <w:left w:val="single" w:sz="16" w:space="6" w:color="C0621B"/>
        </w:pBdr>
      </w:pPr>
      <w:r>
        <w:rPr>
          <w:rFonts w:ascii="Segoe UI" w:hAnsi="Segoe UI" w:eastAsia="微软雅黑"/>
          <w:b w:val="0"/>
          <w:color w:val="333333"/>
          <w:sz w:val="19"/>
        </w:rPr>
        <w:t xml:space="preserve">  ① 先批 G1 阶段的有限预算（配方与单孔纺丝，约 800–1,200 万元），用 6 个月验证配方路线，再决定是否投入整线；② 设备采购采用“核心进口 + 整线国内集成”，喷丝头、计量泵、凝固浴闭环三项不可省；③ 从第一天就按 B2B 膜丝供应商定位，而非终端品牌商——这决定了客户结构、注册节奏与资金需求。</w:t>
      </w:r>
    </w:p>
    <w:p>
      <w:pPr>
        <w:keepNext/>
        <w:spacing w:before="260" w:after="120"/>
      </w:pPr>
      <w:r>
        <w:rPr>
          <w:rFonts w:ascii="Segoe UI" w:hAnsi="Segoe UI" w:eastAsia="微软雅黑"/>
          <w:b/>
          <w:color w:val="C0621B"/>
          <w:sz w:val="25"/>
        </w:rPr>
        <w:t xml:space="preserve">10.4  </w:t>
      </w:r>
      <w:r>
        <w:rPr>
          <w:rFonts w:ascii="Segoe UI" w:hAnsi="Segoe UI" w:eastAsia="微软雅黑"/>
          <w:b/>
          <w:color w:val="1F4E79"/>
          <w:sz w:val="25"/>
        </w:rPr>
        <w:t>本报告的已知局限</w:t>
      </w:r>
    </w:p>
    <w:p>
      <w:pPr>
        <w:spacing w:after="60"/>
        <w:ind w:left="420" w:hanging="255"/>
        <w:jc w:val="both"/>
      </w:pPr>
      <w:r>
        <w:rPr>
          <w:rFonts w:ascii="Segoe UI" w:hAnsi="Segoe UI" w:eastAsia="微软雅黑"/>
          <w:b/>
          <w:color w:val="1F4E79"/>
          <w:sz w:val="21"/>
        </w:rPr>
        <w:t xml:space="preserve">• </w:t>
      </w:r>
      <w:r>
        <w:rPr>
          <w:rFonts w:ascii="Segoe UI" w:hAnsi="Segoe UI" w:eastAsia="微软雅黑"/>
          <w:sz w:val="21"/>
        </w:rPr>
        <w:t>投资估算为量级估算，未经设备供应商正式报价验证，实际可能偏差 ±20%。</w:t>
      </w:r>
    </w:p>
    <w:p>
      <w:pPr>
        <w:spacing w:after="60"/>
        <w:ind w:left="420" w:hanging="255"/>
        <w:jc w:val="both"/>
      </w:pPr>
      <w:r>
        <w:rPr>
          <w:rFonts w:ascii="Segoe UI" w:hAnsi="Segoe UI" w:eastAsia="微软雅黑"/>
          <w:b/>
          <w:color w:val="1F4E79"/>
          <w:sz w:val="21"/>
        </w:rPr>
        <w:t xml:space="preserve">• </w:t>
      </w:r>
      <w:r>
        <w:rPr>
          <w:rFonts w:ascii="Segoe UI" w:hAnsi="Segoe UI" w:eastAsia="微软雅黑"/>
          <w:sz w:val="21"/>
        </w:rPr>
        <w:t>单位成本基于进口原料与国产辅料的混合假设，若原料全面国产化，成本可降 1.5–2.0 元/支。</w:t>
      </w:r>
    </w:p>
    <w:p>
      <w:pPr>
        <w:spacing w:after="60"/>
        <w:ind w:left="420" w:hanging="255"/>
        <w:jc w:val="both"/>
      </w:pPr>
      <w:r>
        <w:rPr>
          <w:rFonts w:ascii="Segoe UI" w:hAnsi="Segoe UI" w:eastAsia="微软雅黑"/>
          <w:b/>
          <w:color w:val="1F4E79"/>
          <w:sz w:val="21"/>
        </w:rPr>
        <w:t xml:space="preserve">• </w:t>
      </w:r>
      <w:r>
        <w:rPr>
          <w:rFonts w:ascii="Segoe UI" w:hAnsi="Segoe UI" w:eastAsia="微软雅黑"/>
          <w:sz w:val="21"/>
        </w:rPr>
        <w:t>价格假设基于 2024 年集采结果，未考虑后续接续采购的进一步降价；第 9 章已做压力测试。</w:t>
      </w:r>
    </w:p>
    <w:p>
      <w:pPr>
        <w:spacing w:after="60"/>
        <w:ind w:left="420" w:hanging="255"/>
        <w:jc w:val="both"/>
      </w:pPr>
      <w:r>
        <w:rPr>
          <w:rFonts w:ascii="Segoe UI" w:hAnsi="Segoe UI" w:eastAsia="微软雅黑"/>
          <w:b/>
          <w:color w:val="1F4E79"/>
          <w:sz w:val="21"/>
        </w:rPr>
        <w:t xml:space="preserve">• </w:t>
      </w:r>
      <w:r>
        <w:rPr>
          <w:rFonts w:ascii="Segoe UI" w:hAnsi="Segoe UI" w:eastAsia="微软雅黑"/>
          <w:sz w:val="21"/>
        </w:rPr>
        <w:t>未包含临床评价（若需做临床试验）的费用与时间，该项可能增加 1,500–3,000 万元与 12–18 个月。</w:t>
      </w:r>
    </w:p>
    <w:p>
      <w:pPr>
        <w:spacing w:after="60"/>
        <w:ind w:left="420" w:hanging="255"/>
        <w:jc w:val="both"/>
      </w:pPr>
      <w:r>
        <w:rPr>
          <w:rFonts w:ascii="Segoe UI" w:hAnsi="Segoe UI" w:eastAsia="微软雅黑"/>
          <w:b/>
          <w:color w:val="1F4E79"/>
          <w:sz w:val="21"/>
        </w:rPr>
        <w:t xml:space="preserve">• </w:t>
      </w:r>
      <w:r>
        <w:rPr>
          <w:rFonts w:ascii="Segoe UI" w:hAnsi="Segoe UI" w:eastAsia="微软雅黑"/>
          <w:sz w:val="21"/>
        </w:rPr>
        <w:t>工艺参数窗口为公开文献与行业经验的归纳，实际最优值需通过本项目自身 DOE 确定。</w:t>
      </w:r>
    </w:p>
    <w:p/>
    <w:p>
      <w:pPr>
        <w:jc w:val="center"/>
      </w:pPr>
      <w:r>
        <w:rPr>
          <w:rFonts w:ascii="Segoe UI" w:hAnsi="Segoe UI" w:eastAsia="微软雅黑"/>
          <w:b/>
          <w:color w:val="808080"/>
          <w:sz w:val="20"/>
        </w:rPr>
        <w:t>— 报告完 —</w:t>
      </w:r>
    </w:p>
    <w:p>
      <w:pPr>
        <w:jc w:val="center"/>
      </w:pPr>
      <w:r>
        <w:rPr>
          <w:rFonts w:ascii="Segoe UI" w:hAnsi="Segoe UI" w:eastAsia="微软雅黑"/>
          <w:b w:val="0"/>
          <w:color w:val="808080"/>
          <w:sz w:val="17"/>
        </w:rPr>
        <w:t>配套阅读：《中空纤维血液透析膜产业综合调研报告 V1.0》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361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/>
        <w:color w:val="808080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6" w:color="D6DEE7"/>
      </w:pBdr>
    </w:pPr>
    <w:r>
      <w:rPr>
        <w:rFonts w:ascii="Segoe UI" w:hAnsi="Segoe UI" w:eastAsia="微软雅黑"/>
        <w:color w:val="808080"/>
        <w:sz w:val="16"/>
      </w:rPr>
      <w:t>中空纤维血透膜 · 产品开发可行性研究报告</w:t>
    </w:r>
    <w:r>
      <w:tab/>
      <w:tab/>
    </w:r>
    <w:r>
      <w:rPr>
        <w:rFonts w:ascii="Segoe UI" w:hAnsi="Segoe UI" w:eastAsia="微软雅黑"/>
        <w:color w:val="808080"/>
        <w:sz w:val="16"/>
      </w:rPr>
      <w:t>V1.0 / 2026-10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Segoe UI" w:hAnsi="Segoe U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