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4.png" ContentType="image/png"/>
  <Override PartName="/word/media/rId27.png" ContentType="image/png"/>
  <Override PartName="/word/media/rId26.png" ContentType="image/png"/>
  <Override PartName="/word/media/rId34.png" ContentType="image/png"/>
  <Override PartName="/word/media/rId35.png" ContentType="image/png"/>
  <Override PartName="/word/media/rId32.png" ContentType="image/png"/>
  <Override PartName="/word/media/rId29.png" ContentType="image/png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DSAA2011</w:t>
      </w:r>
      <w:r>
        <w:t xml:space="preserve"> </w:t>
      </w:r>
      <w:r>
        <w:t xml:space="preserve">Student</w:t>
      </w:r>
      <w:r>
        <w:t xml:space="preserve"> </w:t>
      </w:r>
      <w:r>
        <w:t xml:space="preserve">Dropout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Date"/>
      </w:pPr>
      <w:r>
        <w:t xml:space="preserve">2026</w:t>
      </w:r>
      <w:r>
        <w:t xml:space="preserve"> </w:t>
      </w:r>
      <w:r>
        <w:t xml:space="preserve">Spring</w:t>
      </w:r>
    </w:p>
    <w:p>
      <w:pPr>
        <w:pStyle w:val="Heading1"/>
      </w:pPr>
      <w:bookmarkStart w:id="20" w:name="introduction"/>
      <w:r>
        <w:t xml:space="preserve">Introduction</w:t>
      </w:r>
      <w:bookmarkEnd w:id="20"/>
    </w:p>
    <w:p>
      <w:pPr>
        <w:pStyle w:val="FirstParagraph"/>
      </w:pPr>
      <w:r>
        <w:t xml:space="preserve">本项目基于 UCI</w:t>
      </w:r>
      <w:r>
        <w:t xml:space="preserve"> </w:t>
      </w:r>
      <w:r>
        <w:rPr>
          <w:b/>
        </w:rPr>
        <w:t xml:space="preserve">Predict Students’ Dropout and Academic Success</w:t>
      </w:r>
      <w:r>
        <w:t xml:space="preserve"> </w:t>
      </w:r>
      <w:r>
        <w:t xml:space="preserve">数据集完成学生辍学分析。数据包含 4424 名本科学生、36 个原始特征，目标变量为 Dropout、Enrolled 与 Graduate，其中 Dropout=1421、Enrolled=794、Graduate=2209。分析路线为：先进行缺失值、类别变量和标准化处理，再用 t-SNE 与聚类观察高维结构，最后将任务转为 Dropout vs Graduate 二分类，比较逻辑回归、决策树和随机森林，并补充校准、干预覆盖、公平性与错误案例分析。</w:t>
      </w:r>
    </w:p>
    <w:p>
      <w:pPr>
        <w:pStyle w:val="Heading1"/>
      </w:pPr>
      <w:bookmarkStart w:id="21" w:name="data-preprocessing"/>
      <w:r>
        <w:t xml:space="preserve">1. Data Preprocessing</w:t>
      </w:r>
      <w:bookmarkEnd w:id="21"/>
    </w:p>
    <w:p>
      <w:pPr>
        <w:pStyle w:val="FirstParagraph"/>
      </w:pPr>
      <w:r>
        <w:t xml:space="preserve">缺失值检查显示最大缺失率为 0.00%，没有列超过 40% 阈值，因此未删除特征。数值型变量使用中位数填充，类别型变量使用众数填充；18 个类别变量经独热编码处理，其中 Application mode, Course, Father’s occupation, Father’s qualification, Mother’s occupation, Mother’s qualification, Nacionality, Previous qualification 等高基数变量只保留 Top 5 类别，其余归为 Other。标准化前特征矩阵为 [4424, 36]，处理后为 [4424, 96]。该流程兼顾异常值鲁棒性、类别变量可建模性和不同量纲特征的可比性。</w:t>
      </w:r>
    </w:p>
    <w:p>
      <w:pPr>
        <w:pStyle w:val="Heading1"/>
      </w:pPr>
      <w:bookmarkStart w:id="22" w:name="data-visualization-and-clustering"/>
      <w:r>
        <w:t xml:space="preserve">2. Data Visualization and Clustering</w:t>
      </w:r>
      <w:bookmarkEnd w:id="22"/>
    </w:p>
    <w:p>
      <w:pPr>
        <w:pStyle w:val="CaptionedFigure"/>
      </w:pPr>
      <w:r>
        <w:drawing>
          <wp:inline>
            <wp:extent cx="4389120" cy="3394252"/>
            <wp:effectExtent b="0" l="0" r="0" t="0"/>
            <wp:docPr descr="t-SNE projection" title="" id="1" name="Picture"/>
            <a:graphic>
              <a:graphicData uri="http://schemas.openxmlformats.org/drawingml/2006/picture">
                <pic:pic>
                  <pic:nvPicPr>
                    <pic:cNvPr descr="figures/tsne_targe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39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t-SNE projection</w:t>
      </w:r>
    </w:p>
    <w:p>
      <w:pPr>
        <w:pStyle w:val="BodyText"/>
      </w:pPr>
      <w:r>
        <w:t xml:space="preserve">t-SNE 使用 perplexity=30、learning_rate=200、random_state=42。二维嵌入显示三类样本存在局部聚集，但整体交叠明显：Dropout 在若干区域密度较高，Graduate 在中心和右下区域较集中，Enrolled 常落在两者之间。这说明学生状态与早期学业、经济和人口统计变量相关，但并不存在简单线性边界。Enrolled 标签代表尚未结束的学业过程，其混合分布也支持后续二分类中剔除该类的决定。</w:t>
      </w:r>
    </w:p>
    <w:p>
      <w:pPr>
        <w:pStyle w:val="BodyText"/>
      </w:pPr>
      <w:r>
        <w:t xml:space="preserve">K-Means 与 Ward 层次聚类均在 K=2 至 8 中搜索，K-Means 用肘部法则和轮廓系数选择 K，层次聚类结合树状图和轮廓系数。结果如下：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silhouette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calinski_harabasz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ARI_vs_Target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K-Means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p>
            <w:pPr>
              <w:pStyle w:val="Compact"/>
              <w:jc w:val="left"/>
            </w:pPr>
            <w:r>
              <w:t xml:space="preserve">233.633</w:t>
            </w:r>
          </w:p>
        </w:tc>
        <w:tc>
          <w:p>
            <w:pPr>
              <w:pStyle w:val="Compact"/>
              <w:jc w:val="left"/>
            </w:pPr>
            <w:r>
              <w:t xml:space="preserve">0.072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Agglomerative Ward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0.411</w:t>
            </w:r>
          </w:p>
        </w:tc>
        <w:tc>
          <w:p>
            <w:pPr>
              <w:pStyle w:val="Compact"/>
              <w:jc w:val="left"/>
            </w:pPr>
            <w:r>
              <w:t xml:space="preserve">193.517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</w:tr>
    </w:tbl>
    <w:p>
      <w:pPr>
        <w:pStyle w:val="BodyText"/>
      </w:pPr>
      <w:r>
        <w:t xml:space="preserve">层次聚类的 silhouette=0.411，内部距离分离较强；但其 ARI 仅 0.001，几乎不能复现真实学业结局。K-Means 的 CH 指数和 ARI 更高，虽 silhouette 较低，但与 Target 的对应关系更强。因此若目标是辅助理解学生结果结构，K-Means 更有实用价值；若只看内部距离分离，Ward 层次聚类更占优。</w:t>
      </w:r>
    </w:p>
    <w:p>
      <w:pPr>
        <w:pStyle w:val="CaptionedFigure"/>
      </w:pPr>
      <w:r>
        <w:drawing>
          <wp:inline>
            <wp:extent cx="4389120" cy="1833455"/>
            <wp:effectExtent b="0" l="0" r="0" t="0"/>
            <wp:docPr descr="Cluster comparison on t-SNE" title="" id="1" name="Picture"/>
            <a:graphic>
              <a:graphicData uri="http://schemas.openxmlformats.org/drawingml/2006/picture">
                <pic:pic>
                  <pic:nvPicPr>
                    <pic:cNvPr descr="figures/clustering_ts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833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 comparison on t-SNE</w:t>
      </w:r>
    </w:p>
    <w:p>
      <w:pPr>
        <w:pStyle w:val="Heading1"/>
      </w:pPr>
      <w:bookmarkStart w:id="25" w:name="prediction-training-and-testing"/>
      <w:r>
        <w:t xml:space="preserve">3. Prediction: Training and Testing</w:t>
      </w:r>
      <w:bookmarkEnd w:id="25"/>
    </w:p>
    <w:p>
      <w:pPr>
        <w:pStyle w:val="FirstParagraph"/>
      </w:pPr>
      <w:r>
        <w:t xml:space="preserve">监督学习将 Target 转为二分类：Dropout 为正类，Graduate 为负类。Enrolled 样本被剔除，因为该类学生最终结果尚不明确，作为监督标签会降低模型置信度。二分类数据包含 Graduate=2209、Dropout=1421，采用 70%/30% 分层抽样。逻辑回归作为稳定线性基线，决策树设置 max_depth=5 以限制过拟合。测试集混淆矩阵显示逻辑回归漏判 Dropout 50 人，决策树漏判 84 人，逻辑回归更适合辍学预警。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 Tree</w:t>
            </w:r>
          </w:p>
        </w:tc>
      </w:tr>
      <w:tr>
        <w:tc>
          <w:p>
            <w:pPr>
              <w:pStyle w:val="Compact"/>
              <w:jc w:val="left"/>
            </w:pPr>
            <w:r>
              <w:drawing>
                <wp:inline>
                  <wp:extent cx="2743200" cy="848170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figures/confusion_logistic_regression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848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Compact"/>
              <w:jc w:val="left"/>
            </w:pPr>
            <w:r>
              <w:drawing>
                <wp:inline>
                  <wp:extent cx="2743200" cy="848170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figures/confusion_decision_tree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848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bookmarkStart w:id="28" w:name="evaluation-and-model-choice"/>
      <w:r>
        <w:t xml:space="preserve">4. Evaluation and Model Choice</w:t>
      </w:r>
      <w:bookmarkEnd w:id="28"/>
    </w:p>
    <w:p>
      <w:pPr>
        <w:pStyle w:val="FirstParagraph"/>
      </w:pPr>
      <w:r>
        <w:t xml:space="preserve">测试集指标如下：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p>
            <w:pPr>
              <w:pStyle w:val="Compact"/>
              <w:jc w:val="left"/>
            </w:pPr>
            <w:r>
              <w:t xml:space="preserve">0.883</w:t>
            </w:r>
          </w:p>
        </w:tc>
        <w:tc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p>
            <w:pPr>
              <w:pStyle w:val="Compact"/>
              <w:jc w:val="left"/>
            </w:pPr>
            <w:r>
              <w:t xml:space="preserve">0.964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Tree</w:t>
            </w:r>
          </w:p>
        </w:tc>
        <w:tc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p>
            <w:pPr>
              <w:pStyle w:val="Compact"/>
              <w:jc w:val="left"/>
            </w:pPr>
            <w:r>
              <w:t xml:space="preserve">0.906</w:t>
            </w:r>
          </w:p>
        </w:tc>
      </w:tr>
    </w:tbl>
    <w:p>
      <w:pPr>
        <w:pStyle w:val="CaptionedFigure"/>
      </w:pPr>
      <w:r>
        <w:drawing>
          <wp:inline>
            <wp:extent cx="4389120" cy="3591098"/>
            <wp:effectExtent b="0" l="0" r="0" t="0"/>
            <wp:docPr descr="ROC curves" title="" id="1" name="Picture"/>
            <a:graphic>
              <a:graphicData uri="http://schemas.openxmlformats.org/drawingml/2006/picture">
                <pic:pic>
                  <pic:nvPicPr>
                    <pic:cNvPr descr="figures/roc_lr_tr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591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curves</w:t>
      </w:r>
    </w:p>
    <w:p>
      <w:pPr>
        <w:pStyle w:val="BodyText"/>
      </w:pPr>
      <w:r>
        <w:t xml:space="preserve">逻辑回归在 Accuracy=0.923、Recall=0.883、F1=0.900、AUC=0.964 上均优于或明显优于决策树。5 折交叉验证中，逻辑回归 AUC=0.951±0.006，决策树 AUC=0.914±0.004。逻辑回归训练准确率 0.910、测试准确率 0.923，泛化稳定；决策树训练准确率 0.913、测试准确率 0.894，差距不大但 Recall 偏低。综合排序能力、漏报控制和交叉验证稳定性，逻辑回归是本任务中最合适的简单模型。</w:t>
      </w:r>
    </w:p>
    <w:p>
      <w:pPr>
        <w:pStyle w:val="Heading1"/>
      </w:pPr>
      <w:bookmarkStart w:id="30" w:name="open-ended-exploration"/>
      <w:r>
        <w:t xml:space="preserve">5. Open-ended Exploration</w:t>
      </w:r>
      <w:bookmarkEnd w:id="30"/>
    </w:p>
    <w:p>
      <w:pPr>
        <w:pStyle w:val="Heading2"/>
      </w:pPr>
      <w:bookmarkStart w:id="31" w:name="X663f20e697b537e3089baf005ca1084233d3748"/>
      <w:r>
        <w:t xml:space="preserve">5.1 Feature Importance, Model Comparison, and Imbalance</w:t>
      </w:r>
      <w:bookmarkEnd w:id="31"/>
    </w:p>
    <w:p>
      <w:pPr>
        <w:pStyle w:val="FirstParagraph"/>
      </w:pPr>
      <w:r>
        <w:t xml:space="preserve">随机森林 impurity importance 的 Top 5 如下，主要集中在两个学期的通过课程数、成绩与学费状态，具有明确教育解释：学业完成度低和财务压力会同时提高辍学风险。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original_feature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importance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Curricular units 2nd sem (approved)</w:t>
            </w:r>
          </w:p>
        </w:tc>
        <w:tc>
          <w:p>
            <w:pPr>
              <w:pStyle w:val="Compact"/>
              <w:jc w:val="left"/>
            </w:pPr>
            <w:r>
              <w:t xml:space="preserve">0.168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Curricular units 1st sem (approved)</w:t>
            </w:r>
          </w:p>
        </w:tc>
        <w:tc>
          <w:p>
            <w:pPr>
              <w:pStyle w:val="Compact"/>
              <w:jc w:val="left"/>
            </w:pPr>
            <w:r>
              <w:t xml:space="preserve">0.123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Curricular units 2nd sem (grade)</w:t>
            </w:r>
          </w:p>
        </w:tc>
        <w:tc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Curricular units 1st sem (grade)</w:t>
            </w:r>
          </w:p>
        </w:tc>
        <w:tc>
          <w:p>
            <w:pPr>
              <w:pStyle w:val="Compact"/>
              <w:jc w:val="left"/>
            </w:pPr>
            <w:r>
              <w:t xml:space="preserve">0.070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Tuition fees up to date</w:t>
            </w:r>
          </w:p>
        </w:tc>
        <w:tc>
          <w:p>
            <w:pPr>
              <w:pStyle w:val="Compact"/>
              <w:jc w:val="left"/>
            </w:pPr>
            <w:r>
              <w:t xml:space="preserve">0.065</w:t>
            </w:r>
          </w:p>
        </w:tc>
      </w:tr>
    </w:tbl>
    <w:p>
      <w:pPr>
        <w:pStyle w:val="BodyText"/>
      </w:pPr>
      <w:r>
        <w:t xml:space="preserve">随机森林使用 GridSearchCV 调整 n_estimators、max_depth 与 min_samples_leaf，最佳参数为</w:t>
      </w:r>
      <w:r>
        <w:t xml:space="preserve"> </w:t>
      </w:r>
      <w:r>
        <w:rPr>
          <w:rStyle w:val="VerbatimChar"/>
        </w:rPr>
        <w:t xml:space="preserve">{'rf__max_depth': None, 'rf__min_samples_leaf': 1, 'rf__n_estimators': 300}</w:t>
      </w:r>
      <w:r>
        <w:t xml:space="preserve">。三类模型测试集表现如下：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p>
            <w:pPr>
              <w:pStyle w:val="Compact"/>
              <w:jc w:val="left"/>
            </w:pPr>
            <w:r>
              <w:t xml:space="preserve">0.883</w:t>
            </w:r>
          </w:p>
        </w:tc>
        <w:tc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p>
            <w:pPr>
              <w:pStyle w:val="Compact"/>
              <w:jc w:val="left"/>
            </w:pPr>
            <w:r>
              <w:t xml:space="preserve">0.964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Forest, tuned</w:t>
            </w:r>
          </w:p>
        </w:tc>
        <w:tc>
          <w:p>
            <w:pPr>
              <w:pStyle w:val="Compact"/>
              <w:jc w:val="left"/>
            </w:pPr>
            <w:r>
              <w:t xml:space="preserve">0.921</w:t>
            </w:r>
          </w:p>
        </w:tc>
        <w:tc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Tree</w:t>
            </w:r>
          </w:p>
        </w:tc>
        <w:tc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p>
            <w:pPr>
              <w:pStyle w:val="Compact"/>
              <w:jc w:val="left"/>
            </w:pPr>
            <w:r>
              <w:t xml:space="preserve">0.906</w:t>
            </w:r>
          </w:p>
        </w:tc>
      </w:tr>
    </w:tbl>
    <w:p>
      <w:pPr>
        <w:pStyle w:val="BodyText"/>
      </w:pPr>
      <w:r>
        <w:t xml:space="preserve">调参随机森林 AUC=0.958，优于决策树但略低于逻辑回归，说明复杂模型未必带来更高泛化收益。类别不平衡方面，Dropout/Graduate 比例为 0.643；SMOTE 将逻辑回归 Recall 从 0.883 提升到 0.904，但 AUC 略降，因此更适合</w:t>
      </w:r>
      <w:r>
        <w:t xml:space="preserve">“</w:t>
      </w:r>
      <w:r>
        <w:t xml:space="preserve">少漏报</w:t>
      </w:r>
      <w:r>
        <w:t xml:space="preserve">”</w:t>
      </w:r>
      <w:r>
        <w:t xml:space="preserve">优先的策略，而非默认替代原始模型。</w:t>
      </w:r>
    </w:p>
    <w:p>
      <w:pPr>
        <w:pStyle w:val="CaptionedFigure"/>
      </w:pPr>
      <w:r>
        <w:drawing>
          <wp:inline>
            <wp:extent cx="4114800" cy="2367419"/>
            <wp:effectExtent b="0" l="0" r="0" t="0"/>
            <wp:docPr descr="Model and feature comparison" title="" id="1" name="Picture"/>
            <a:graphic>
              <a:graphicData uri="http://schemas.openxmlformats.org/drawingml/2006/picture">
                <pic:pic>
                  <pic:nvPicPr>
                    <pic:cNvPr descr="figures/model_comparison_au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and feature comparison</w:t>
      </w:r>
    </w:p>
    <w:p>
      <w:pPr>
        <w:pStyle w:val="Heading2"/>
      </w:pPr>
      <w:bookmarkStart w:id="33" w:name="early-warning-and-intervention-value"/>
      <w:r>
        <w:t xml:space="preserve">5.2 Early Warning and Intervention Value</w:t>
      </w:r>
      <w:bookmarkEnd w:id="33"/>
    </w:p>
    <w:p>
      <w:pPr>
        <w:pStyle w:val="CaptionedFigure"/>
      </w:pPr>
      <w:r>
        <w:drawing>
          <wp:inline>
            <wp:extent cx="4206240" cy="2200939"/>
            <wp:effectExtent b="0" l="0" r="0" t="0"/>
            <wp:docPr descr="Early warning comparison" title="" id="1" name="Picture"/>
            <a:graphic>
              <a:graphicData uri="http://schemas.openxmlformats.org/drawingml/2006/picture">
                <pic:pic>
                  <pic:nvPicPr>
                    <pic:cNvPr descr="figures/early_warning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200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Early warning comparison</w:t>
      </w:r>
    </w:p>
    <w:p>
      <w:pPr>
        <w:pStyle w:val="BodyText"/>
      </w:pPr>
      <w:r>
        <w:t xml:space="preserve">早期预警实验严格控制信息可用时间点。只使用入学时已知信息时，AUC=0.838、Recall=0.634；加入第一学期表现后，AUC 提升到 0.939、Recall 提升到 0.852；再加入第二学期后，AUC=0.964、Recall=0.883。因此，完整模型更像回顾性诊断，而</w:t>
      </w:r>
      <w:r>
        <w:t xml:space="preserve"> </w:t>
      </w:r>
      <w:r>
        <w:rPr>
          <w:rStyle w:val="VerbatimChar"/>
        </w:rPr>
        <w:t xml:space="preserve">Enrollment + 1st semester</w:t>
      </w:r>
      <w:r>
        <w:t xml:space="preserve"> </w:t>
      </w:r>
      <w:r>
        <w:t xml:space="preserve">模型更适合可行动预警。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Enrollment only</w:t>
            </w:r>
          </w:p>
        </w:tc>
        <w:tc>
          <w:p>
            <w:pPr>
              <w:pStyle w:val="Compact"/>
              <w:jc w:val="left"/>
            </w:pPr>
            <w:r>
              <w:t xml:space="preserve">0.838</w:t>
            </w:r>
          </w:p>
        </w:tc>
        <w:tc>
          <w:p>
            <w:pPr>
              <w:pStyle w:val="Compact"/>
              <w:jc w:val="left"/>
            </w:pPr>
            <w:r>
              <w:t xml:space="preserve">0.634</w:t>
            </w:r>
          </w:p>
        </w:tc>
        <w:tc>
          <w:p>
            <w:pPr>
              <w:pStyle w:val="Compact"/>
              <w:jc w:val="left"/>
            </w:pPr>
            <w:r>
              <w:t xml:space="preserve">0.738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Enrollment + 1st semester</w:t>
            </w:r>
          </w:p>
        </w:tc>
        <w:tc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p>
            <w:pPr>
              <w:pStyle w:val="Compact"/>
              <w:jc w:val="left"/>
            </w:pPr>
            <w:r>
              <w:t xml:space="preserve">0.852</w:t>
            </w:r>
          </w:p>
        </w:tc>
        <w:tc>
          <w:p>
            <w:pPr>
              <w:pStyle w:val="Compact"/>
              <w:jc w:val="left"/>
            </w:pPr>
            <w:r>
              <w:t xml:space="preserve">0.892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Enrollment + 1st + 2nd semester</w:t>
            </w:r>
          </w:p>
        </w:tc>
        <w:tc>
          <w:p>
            <w:pPr>
              <w:pStyle w:val="Compact"/>
              <w:jc w:val="left"/>
            </w:pPr>
            <w:r>
              <w:t xml:space="preserve">0.964</w:t>
            </w:r>
          </w:p>
        </w:tc>
        <w:tc>
          <w:p>
            <w:pPr>
              <w:pStyle w:val="Compact"/>
              <w:jc w:val="left"/>
            </w:pPr>
            <w:r>
              <w:t xml:space="preserve">0.883</w:t>
            </w:r>
          </w:p>
        </w:tc>
        <w:tc>
          <w:p>
            <w:pPr>
              <w:pStyle w:val="Compact"/>
              <w:jc w:val="left"/>
            </w:pPr>
            <w:r>
              <w:t xml:space="preserve">0.917</w:t>
            </w:r>
          </w:p>
        </w:tc>
      </w:tr>
    </w:tbl>
    <w:p>
      <w:pPr>
        <w:pStyle w:val="CaptionedFigure"/>
      </w:pPr>
      <w:r>
        <w:drawing>
          <wp:inline>
            <wp:extent cx="4206240" cy="1745986"/>
            <wp:effectExtent b="0" l="0" r="0" t="0"/>
            <wp:docPr descr="Intervention coverage" title="" id="1" name="Picture"/>
            <a:graphic>
              <a:graphicData uri="http://schemas.openxmlformats.org/drawingml/2006/picture">
                <pic:pic>
                  <pic:nvPicPr>
                    <pic:cNvPr descr="figures/intervention_coverage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1745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Intervention coverage</w:t>
      </w:r>
    </w:p>
    <w:p>
      <w:pPr>
        <w:pStyle w:val="BodyText"/>
      </w:pPr>
      <w:r>
        <w:t xml:space="preserve">干预覆盖曲线比 ROC 更接近教育管理场景。使用第一学期可行动模型时，跟进风险最高的 25% 学生可覆盖 62.68% 的真实 Dropout，名单中的 Dropout 比例为 97.80%；完整模型对应覆盖率为 63.85%。两者差距不大，说明第一学期模型已经足以支持有限资源下的优先排序。若设定 top-25% 容量策略，完整逻辑回归在测试集中标记 272 人，Precision=0.996、Recall=0.636。</w:t>
      </w:r>
    </w:p>
    <w:p>
      <w:pPr>
        <w:pStyle w:val="Heading2"/>
      </w:pPr>
      <w:bookmarkStart w:id="36" w:name="X053cd6d6be1c2e0161d111d0ca796ff208e2f6f"/>
      <w:r>
        <w:t xml:space="preserve">5.3 From Correlation to Trustworthy Explanation</w:t>
      </w:r>
      <w:bookmarkEnd w:id="36"/>
    </w:p>
    <w:p>
      <w:pPr>
        <w:pStyle w:val="CaptionedFigure"/>
      </w:pPr>
      <w:r>
        <w:drawing>
          <wp:inline>
            <wp:extent cx="4206240" cy="3587675"/>
            <wp:effectExtent b="0" l="0" r="0" t="0"/>
            <wp:docPr descr="Calibration curves" title="" id="1" name="Picture"/>
            <a:graphic>
              <a:graphicData uri="http://schemas.openxmlformats.org/drawingml/2006/picture">
                <pic:pic>
                  <pic:nvPicPr>
                    <pic:cNvPr descr="figures/calibration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58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curves</w:t>
      </w:r>
    </w:p>
    <w:p>
      <w:pPr>
        <w:pStyle w:val="BodyText"/>
      </w:pPr>
      <w:r>
        <w:t xml:space="preserve">为了判断风险分是否可解释为概率，本项目绘制校准曲线并计算 Brier score。结果如下：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brier_score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expected_calibration_error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mean_predicted_risk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p>
            <w:pPr>
              <w:pStyle w:val="Compact"/>
              <w:jc w:val="left"/>
            </w:pPr>
            <w:r>
              <w:t xml:space="preserve">0.415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Tree</w:t>
            </w:r>
          </w:p>
        </w:tc>
        <w:tc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p>
            <w:pPr>
              <w:pStyle w:val="Compact"/>
              <w:jc w:val="left"/>
            </w:pPr>
            <w:r>
              <w:t xml:space="preserve">0.400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Forest, tuned</w:t>
            </w:r>
          </w:p>
        </w:tc>
        <w:tc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p>
            <w:pPr>
              <w:pStyle w:val="Compact"/>
              <w:jc w:val="left"/>
            </w:pPr>
            <w:r>
              <w:t xml:space="preserve">0.403</w:t>
            </w:r>
          </w:p>
        </w:tc>
      </w:tr>
    </w:tbl>
    <w:p>
      <w:pPr>
        <w:pStyle w:val="BodyText"/>
      </w:pPr>
      <w:r>
        <w:t xml:space="preserve">逻辑回归的 Brier score=0.058，低于决策树和调参随机森林，说明其概率输出更适合解释为辍学风险。进一步使用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 </w:t>
      </w:r>
      <w:r>
        <w:t xml:space="preserve">后，最佳 Brier score 来自 Logistic Regression, isotonic，为 0.057。PDP 显示，当</w:t>
      </w:r>
      <w:r>
        <w:t xml:space="preserve"> </w:t>
      </w:r>
      <w:r>
        <w:rPr>
          <w:rStyle w:val="VerbatimChar"/>
        </w:rPr>
        <w:t xml:space="preserve">Curricular units 2nd sem (approved)</w:t>
      </w:r>
      <w:r>
        <w:t xml:space="preserve"> </w:t>
      </w:r>
      <w:r>
        <w:t xml:space="preserve">从 0 增至 6 时，随机森林平均预测风险由 0.652 降至 0.310；</w:t>
      </w:r>
      <w:r>
        <w:rPr>
          <w:rStyle w:val="VerbatimChar"/>
        </w:rPr>
        <w:t xml:space="preserve">Tuition fees up to date</w:t>
      </w:r>
      <w:r>
        <w:t xml:space="preserve"> </w:t>
      </w:r>
      <w:r>
        <w:t xml:space="preserve">从 0 变为 1 时，风险由 0.648 降至 0.387。反事实风格模拟中，</w:t>
      </w:r>
      <w:r>
        <w:t xml:space="preserve">“</w:t>
      </w:r>
      <w:r>
        <w:t xml:space="preserve">学费按时缴纳 + 第二学期通过课程数增加 3</w:t>
      </w:r>
      <w:r>
        <w:t xml:space="preserve">”</w:t>
      </w:r>
      <w:r>
        <w:t xml:space="preserve">使平均风险下降 0.166。这些结果适合生成干预假设，但仍不是因果估计。</w:t>
      </w:r>
    </w:p>
    <w:p>
      <w:pPr>
        <w:pStyle w:val="Heading2"/>
      </w:pPr>
      <w:bookmarkStart w:id="38" w:name="uncertainty-fairness-and-error-cases"/>
      <w:r>
        <w:t xml:space="preserve">5.4 Uncertainty, Fairness, and Error Cases</w:t>
      </w:r>
      <w:bookmarkEnd w:id="38"/>
    </w:p>
    <w:p>
      <w:pPr>
        <w:pStyle w:val="FirstParagraph"/>
      </w:pPr>
      <w:r>
        <w:t xml:space="preserve">模型总体指标使用 1000 次 bootstrap 估计 95% 置信区间：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AUC_95CI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Recall_95CI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0.964 [0.951, 0.976]</w:t>
            </w:r>
          </w:p>
        </w:tc>
        <w:tc>
          <w:p>
            <w:pPr>
              <w:pStyle w:val="Compact"/>
              <w:jc w:val="left"/>
            </w:pPr>
            <w:r>
              <w:t xml:space="preserve">0.883 [0.853, 0.912]</w:t>
            </w:r>
          </w:p>
        </w:tc>
      </w:tr>
    </w:tbl>
    <w:p>
      <w:pPr>
        <w:pStyle w:val="BodyText"/>
      </w:pPr>
      <w:r>
        <w:t xml:space="preserve">逻辑回归 AUC 的 95% CI 为 0.964 [0.951, 0.976]，Recall 的 95% CI 为 0.883 [0.853, 0.912]，总体较稳健。公平性分析按 Gender、International 与 Scholarship holder 分组计算 Recall、FPR、Brier score 和 group-wise calibration；International=1 组仅 27 人，Recall=0.846，Wilson 95% CI 为 [0.578, 0.957]，bootstrap Recall 95% CI 为 [0.615, 1.000]，因此不应过度解读小样本群体的点估计。错误案例方面，逻辑回归漏判 50 名 Dropout；漏判者在</w:t>
      </w:r>
      <w:r>
        <w:t xml:space="preserve"> </w:t>
      </w:r>
      <w:r>
        <w:rPr>
          <w:rStyle w:val="VerbatimChar"/>
        </w:rPr>
        <w:t xml:space="preserve">Curricular units 2nd sem (approved)</w:t>
      </w:r>
      <w:r>
        <w:t xml:space="preserve"> </w:t>
      </w:r>
      <w:r>
        <w:t xml:space="preserve">上均值为 5.720，高于正确识别 Dropout 的 1.213，说明部分辍学学生在结构化学业和财务变量上看似安全，仍需人工复核和非结构化信息补充。</w:t>
      </w:r>
    </w:p>
    <w:p>
      <w:pPr>
        <w:pStyle w:val="Heading1"/>
      </w:pPr>
      <w:bookmarkStart w:id="39" w:name="conclusion"/>
      <w:r>
        <w:t xml:space="preserve">Conclusion</w:t>
      </w:r>
      <w:bookmarkEnd w:id="39"/>
    </w:p>
    <w:p>
      <w:pPr>
        <w:pStyle w:val="FirstParagraph"/>
      </w:pPr>
      <w:r>
        <w:t xml:space="preserve">无监督分析表明三类学业结果有局部结构但重叠明显，不能仅靠自然聚类替代监督预测。监督学习中，逻辑回归以 AUC=0.964 和 Recall=0.883 成为最佳简单模型；调参随机森林作为开放探索模型接近逻辑回归但未超过它。更深入的开放探索显示，第一学期信息已能将 AUC 从 0.838 提升到 0.939，是早期预警的关键时间点；第二学期通过课程数、学费状态和第一学期通过课程数是最核心因素。干预覆盖曲线、校准后模型、bootstrap 公平性区间、时间泄漏讨论和错误案例画像进一步说明，模型可以支持风险排序和干预假设，但部署时必须同时报告概率校准、群体差异、不确定性和模型失败模式。</w:t>
      </w:r>
    </w:p>
    <w:p>
      <w:pPr>
        <w:pStyle w:val="Heading1"/>
      </w:pPr>
      <w:bookmarkStart w:id="40" w:name="references"/>
      <w:r>
        <w:t xml:space="preserve">References</w:t>
      </w:r>
      <w:bookmarkEnd w:id="40"/>
    </w:p>
    <w:p>
      <w:pPr>
        <w:numPr>
          <w:ilvl w:val="0"/>
          <w:numId w:val="1001"/>
        </w:numPr>
        <w:pStyle w:val="Compact"/>
      </w:pPr>
      <w:r>
        <w:t xml:space="preserve">UCI Machine Learning Repository. Predict Students’ Dropout and Academic Success. https://archive.ics.uci.edu/dataset/697/predict+students+dropout+and+academic+success</w:t>
      </w:r>
    </w:p>
    <w:p>
      <w:pPr>
        <w:numPr>
          <w:ilvl w:val="0"/>
          <w:numId w:val="1001"/>
        </w:numPr>
        <w:pStyle w:val="Compact"/>
      </w:pPr>
      <w:r>
        <w:t xml:space="preserve">Pedregosa et al. Scikit-learn: Machine Learning in Python. Journal of Machine Learning Research, 2011.</w:t>
      </w:r>
    </w:p>
    <w:p>
      <w:pPr>
        <w:numPr>
          <w:ilvl w:val="0"/>
          <w:numId w:val="1001"/>
        </w:numPr>
        <w:pStyle w:val="Compact"/>
      </w:pPr>
      <w:r>
        <w:t xml:space="preserve">van der Maaten and Hinton. Visualizing Data using t-SNE. Journal of Machine Learning Research, 2008.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DSAA2011 Student Dropout Project Report</dc:title>
  <dc:creator/>
  <cp:keywords/>
  <dcterms:created xsi:type="dcterms:W3CDTF">2026-07-01T03:32:53Z</dcterms:created>
  <dcterms:modified xsi:type="dcterms:W3CDTF">2026-07-01T03:32:53Z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Spring</vt:lpwstr>
  </property>
</Properties>
</file>