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comments.xml" ContentType="application/vnd.openxmlformats-officedocument.wordprocessingml.comment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xmlns:wp="http://schemas.openxmlformats.org/drawingml/2006/wordprocessingDrawing" xmlns:pic="http://schemas.openxmlformats.org/drawingml/2006/picture" xmlns:vyd="http://volga.yandex.com/schemas/document/model" xmlns:a="http://schemas.openxmlformats.org/drawingml/2006/main" xmlns:r="http://schemas.openxmlformats.org/officeDocument/2006/relationships" w:conformance="transitional" mc:Ignorable="vyd">
  <w:background/>
  <w:body vyd:_id="vyd:00000000000001">
    <w:p vyd:_id="vyd:000000000000tf">
      <w:pPr>
        <w:jc w:val="start"/>
      </w:pPr>
      <w:r>
        <w:rPr>
          <w:rFonts w:ascii="Times New Roman" w:hAnsi="Times New Roman" w:eastAsia="Times New Roman"/>
          <w:sz w:val="24"/>
          <w:color w:val="000000"/>
          <w:b w:val="1"/>
        </w:rPr>
        <w:t vyd:_id="vyd:000000000000tg">Cytomove: a browser-local and reviewable workflow for scratch wound healing assay quantification</w:t>
      </w:r>
    </w:p>
    <w:p vyd:_id="vyd:000000000000td">
      <w:r>
        <w:br w:type="page" vyd:_id="vyd:000000000000te"/>
      </w:r>
    </w:p>
    <w:p vyd:_id="vyd:000000000000ta">
      <w:r>
        <w:rPr>
          <w:b w:val="1"/>
        </w:rPr>
        <w:t vyd:_id="vyd:000000000000tc">Article type:</w:t>
      </w:r>
      <w:r>
        <w:t vyd:_id="vyd:000000000000tb" xml:space="preserve"> Preprint / methods and software research article</w:t>
      </w:r>
    </w:p>
    <w:p vyd:_id="vyd:000000000000t7">
      <w:r>
        <w:rPr>
          <w:b w:val="1"/>
        </w:rPr>
        <w:t vyd:_id="vyd:000000000000t9">Author:</w:t>
      </w:r>
      <w:r>
        <w:t vyd:_id="vyd:000000000000t8" xml:space="preserve"> Zekeriya Düzgün</w:t>
      </w:r>
    </w:p>
    <w:p vyd:_id="vyd:000000000000t5">
      <w:r>
        <w:t vyd:_id="vyd:000000000000t6">Department of Medical Biology, Faculty of Medicine, Giresun University, Giresun, Türkiye</w:t>
      </w:r>
    </w:p>
    <w:p vyd:_id="vyd:000000000000t3">
      <w:r>
        <w:t vyd:_id="vyd:000000000000t4">Corresponding author: zekeriya.duzgun@giresun.edu.tr</w:t>
      </w:r>
    </w:p>
    <w:p vyd:_id="vyd:000000000000t1">
      <w:r>
        <w:t vyd:_id="vyd:000000000000t2">ORCID: 0000-0001-6420-6292</w:t>
      </w:r>
    </w:p>
    <w:p vyd:_id="vyd:000000000000sz">
      <w:pPr>
        <w:pStyle w:val="Heading1"/>
      </w:pPr>
      <w:r>
        <w:rPr>
          <w:rFonts w:ascii="Times New Roman" w:hAnsi="Times New Roman" w:eastAsia="Times New Roman"/>
          <w:sz w:val="24"/>
          <w:color w:val="000000"/>
          <w:b w:val="1"/>
        </w:rPr>
        <w:t vyd:_id="vyd:000000000000t0">Abstract</w:t>
      </w:r>
    </w:p>
    <w:p vyd:_id="vyd:000000000000sx">
      <w:r>
        <w:t vyd:_id="vyd:000000000000sy">The in vitro scratch wound healing assay is one of the most widely used methods for studying collective cell migration, but converting assay images into reproducible measurements remains a practical bottleneck of manual tracing, local software installation, parameter bookkeeping, and limited visibility into how the wound region was segmented. We present Cytomove, a browser-local software tool for reviewable scratch wound healing assay quantification. Cytomove imports local microscopy images, segments the wound region with an explainable variance-and-threshold pipeline implemented in client-side JavaScript without external image-processing dependencies, displays the segmentation as an inspectable overlay before any number is exported, supports single-image and grouped time-course analysis, and exports wound area, wound area fraction, wound width profile statistics, quality-control labels, and full analysis metadata as CSV, Excel, PNG, and ZIP. All processing runs in the browser or in a desktop package built on the same code; microscopy images never leave the user's machine. In a preliminary comparison with the ImageJ/Fiji Wound Healing Size Tool (WHST) across five image sets and 31 paired measurements, Cytomove reproduced wound-area behaviour closely in a clean brightfield comparator sequence (mean absolute percentage error 4.1%, Pearson r = 0.9975) and in a phase-contrast time course approaching closure (median area error 6.6%, r = 0.9984), while surfacing near-closure and real-world acquisition difficulties through overlays and quality-control labels. Informal local testing indicates that typical single-image analysis completes within seconds in a modern browser, with no installation or dependency step. Cytomove lowers installation friction, keeps assay data local, and links every exported number to the segmentation image and parameters that produced it.</w:t>
      </w:r>
    </w:p>
    <w:p vyd:_id="vyd:000000000000sv">
      <w:pPr>
        <w:pStyle w:val="Heading1"/>
      </w:pPr>
      <w:r>
        <w:rPr>
          <w:rFonts w:ascii="Times New Roman" w:hAnsi="Times New Roman" w:eastAsia="Times New Roman"/>
          <w:sz w:val="24"/>
          <w:color w:val="000000"/>
          <w:b w:val="1"/>
        </w:rPr>
        <w:t vyd:_id="vyd:000000000000sw">Keywords</w:t>
      </w:r>
    </w:p>
    <w:p vyd:_id="vyd:000000000000st">
      <w:r>
        <w:t vyd:_id="vyd:000000000000su">scratch assay; wound healing assay; cell migration; image analysis; browser-based; segmentation; reproducibility; source-available software</w:t>
      </w:r>
    </w:p>
    <w:p vyd:_id="vyd:000000000000sr">
      <w:pPr>
        <w:pStyle w:val="Heading1"/>
      </w:pPr>
      <w:r>
        <w:rPr>
          <w:rFonts w:ascii="Times New Roman" w:hAnsi="Times New Roman" w:eastAsia="Times New Roman"/>
          <w:sz w:val="24"/>
          <w:color w:val="000000"/>
          <w:b w:val="1"/>
        </w:rPr>
        <w:t vyd:_id="vyd:000000000000ss">Introduction</w:t>
      </w:r>
    </w:p>
    <w:p vyd:_id="vyd:000000000000sh">
      <w:r>
        <w:t vyd:_id="vyd:000000000000sq">The in vitro scratch wound healing assay is a convenient and inexpensive method for studying collective cell migration. A scratch or gap is introduced into a confluent monolayer of adherent cells, the gap is imaged over time, and the rate at which cells move into the cell-free region serves as a proxy for migratory behaviour. The assay remains popular because it is technically accessible, requires no specialised reagents, is compatible with a wide range of adherent cell types, and produces an intuitive readout of coordinated cell movement (</w:t>
      </w:r>
      <w:r>
        <w:rPr>
          <w:b w:val="1"/>
        </w:rPr>
        <w:t vyd:_id="vyd:000000000000sp">Liang et al., 2007</w:t>
      </w:r>
      <w:r>
        <w:t vyd:_id="vyd:000000000000so" xml:space="preserve">; </w:t>
      </w:r>
      <w:r>
        <w:rPr>
          <w:b w:val="1"/>
        </w:rPr>
        <w:t vyd:_id="vyd:000000000000sn">Jonkman et al., 2014</w:t>
      </w:r>
      <w:r>
        <w:t vyd:_id="vyd:000000000000sm" xml:space="preserve">; </w:t>
      </w:r>
      <w:r>
        <w:rPr>
          <w:b w:val="1"/>
        </w:rPr>
        <w:t vyd:_id="vyd:000000000000sl">Grada et al., 2017</w:t>
      </w:r>
      <w:r>
        <w:t vyd:_id="vyd:000000000000sk">), a process central to morphogenesis, tissue repair, and cancer invasion (</w:t>
      </w:r>
      <w:r>
        <w:rPr>
          <w:b w:val="1"/>
        </w:rPr>
        <w:t vyd:_id="vyd:000000000000sj">Friedl and Gilmour, 2009</w:t>
      </w:r>
      <w:r>
        <w:t vyd:_id="vyd:000000000000si">). It is used routinely in cancer biology, wound healing, vascular biology, and drug-screening contexts.</w:t>
      </w:r>
    </w:p>
    <w:p vyd:_id="vyd:000000000000s5">
      <w:r>
        <w:t vyd:_id="vyd:000000000000sg" xml:space="preserve">The simplicity of the wet-lab procedure contrasts sharply with the difficulty of the image analysis. Manual measurement of wound area or width is slow and subjective, and it scales poorly when an experiment contains many fields, time points, replicates, or treatment arms. General-purpose platforms such as </w:t>
      </w:r>
      <w:commentRangeStart vyd:_id="vyd:mpztklcp5yayaz" w:id="0"/>
      <w:r>
        <w:t vyd:_id="vyd:mpztklcs428062">ImageJ and Fiji (</w:t>
      </w:r>
      <w:r>
        <w:rPr>
          <w:b w:val="1"/>
        </w:rPr>
        <w:t vyd:_id="vyd:000000000000sf">Schneider et al., 2012</w:t>
      </w:r>
      <w:r>
        <w:t vyd:_id="vyd:000000000000se" xml:space="preserve">; </w:t>
      </w:r>
      <w:r>
        <w:rPr>
          <w:b w:val="1"/>
        </w:rPr>
        <w:t vyd:_id="vyd:000000000000sd">Schindelin et al., 2012</w:t>
      </w:r>
      <w:r>
        <w:t vyd:_id="vyd:000000000000sc">), and dedicated bioimage-analysis environments such as CellProfiler (</w:t>
      </w:r>
      <w:r>
        <w:rPr>
          <w:b w:val="1"/>
        </w:rPr>
        <w:t vyd:_id="vyd:000000000000sb">Carpenter et al., 2006</w:t>
      </w:r>
      <w:r>
        <w:t vyd:_id="vyd:000000000000sa" xml:space="preserve">; </w:t>
      </w:r>
      <w:r>
        <w:rPr>
          <w:b w:val="1"/>
        </w:rPr>
        <w:t vyd:_id="vyd:000000000000s9">Stirling et al., 2021</w:t>
      </w:r>
      <w:r>
        <w:t vyd:_id="vyd:000000000000s8">) and ilastik (</w:t>
      </w:r>
      <w:r>
        <w:rPr>
          <w:b w:val="1"/>
        </w:rPr>
        <w:t vyd:_id="vyd:000000000000s7">Berg et al., 2019</w:t>
      </w:r>
      <w:r>
        <w:t vyd:_id="vyd:000000000000s6">), are powerful and widely adopted, but scratch-assay users must still install plugins or macros, choose parameters, inspect the resulting masks, and keep a record of the settings that produced each measurement</w:t>
      </w:r>
      <w:commentRangeEnd w:id="0"/>
      <w:r>
        <w:commentReference w:id="0"/>
      </w:r>
      <w:r>
        <w:t vyd:_id="vyd:mpztklcqsr2o2z">. In practice, these settings are frequently lost, which undermines reproducibility even when the underlying numbers are sound.</w:t>
      </w:r>
    </w:p>
    <w:p vyd:_id="vyd:000000000000rr">
      <w:r>
        <w:t vyd:_id="vyd:000000000000s4">Several dedicated tools have shaped current expectations for scratch-assay software. TScratch introduced automated wound detection using the fast discrete curvelet transform combined with automated thresholding, paired with visual inspection and optional manual correction; this established that segmentation should remain editable and inspectable rather than hidden (</w:t>
      </w:r>
      <w:r>
        <w:rPr>
          <w:b w:val="1"/>
        </w:rPr>
        <w:t vyd:_id="vyd:000000000000s3">Gebäck et al., 2009</w:t>
      </w:r>
      <w:r>
        <w:t vyd:_id="vyd:000000000000s2">). The ImageJ/Fiji Wound Healing Size Tool (WHST) provided a local-variance and thresholding plugin that reports wound area, area fraction, average width, and width variability, and it set a measurement vocabulary that has become a de facto standard (</w:t>
      </w:r>
      <w:r>
        <w:rPr>
          <w:b w:val="1"/>
        </w:rPr>
        <w:t vyd:_id="vyd:000000000000s1">Suarez-Arnedo et al., 2020</w:t>
      </w:r>
      <w:r>
        <w:t vyd:_id="vyd:000000000000s0">). PyScratch demonstrated a Python graphical interface for batch and time-course analysis using Laplacian edge detection and Gaussian blurring for non-programmer users, reporting approximately six-fold speed improvement over semi-automated analysis (</w:t>
      </w:r>
      <w:r>
        <w:rPr>
          <w:b w:val="1"/>
        </w:rPr>
        <w:t vyd:_id="vyd:000000000000rz">Garcia-Fossa et al., 2020</w:t>
      </w:r>
      <w:r>
        <w:t vyd:_id="vyd:000000000000ry">). CSMA emphasised cell detection within the wound region and two-mode quantification (area and width) using contrast-limited adaptive histogram equalisation and morphological operations (</w:t>
      </w:r>
      <w:r>
        <w:rPr>
          <w:b w:val="1"/>
        </w:rPr>
        <w:t vyd:_id="vyd:000000000000rx">Pham et al., 2025</w:t>
      </w:r>
      <w:r>
        <w:t vyd:_id="vyd:000000000000rw">). Other approaches have combined texture-based segmentation with kinematic readouts, including high-throughput brightfield assays (</w:t>
      </w:r>
      <w:r>
        <w:rPr>
          <w:b w:val="1"/>
        </w:rPr>
        <w:t vyd:_id="vyd:000000000000rv">Zordan et al., 2011</w:t>
      </w:r>
      <w:r>
        <w:t vyd:_id="vyd:000000000000ru">) and objective continuous-kinematics curve fitting (</w:t>
      </w:r>
      <w:r>
        <w:rPr>
          <w:b w:val="1"/>
        </w:rPr>
        <w:t vyd:_id="vyd:000000000000rt">Topman et al., 2012</w:t>
      </w:r>
      <w:r>
        <w:t vyd:_id="vyd:000000000000rs">).</w:t>
      </w:r>
    </w:p>
    <w:p vyd:_id="vyd:000000000000rp">
      <w:commentRangeStart vyd:_id="vyd:mpztq3rzyl044e" w:id="1"/>
      <w:r>
        <w:t vyd:_id="vyd:000000000000rq">These tools also leave practical, workflow-oriented gaps: they require local software environments, depend on manual parameter tracking, and are less naturally connected to browser-based sharing, review, and export. The remaining opportunity is therefore not a new biological metric but lower installation friction, clearer provenance, easier group review, explicit linkage between the exported number and the segmentation that produced it, and the ability to keep unpublished microscopy on the researcher's own machine. Cytomove was developed around this opportunity.</w:t>
      </w:r>
      <w:commentRangeEnd w:id="1"/>
      <w:r>
        <w:commentReference w:id="1"/>
      </w:r>
    </w:p>
    <w:p vyd:_id="vyd:000000000000rj">
      <w:r>
        <w:t vyd:_id="vyd:000000000000ro">The field is also moving toward more spatially explicit and reproducible assay designs. Recent work has addressed the reproducibility of scratch creation itself through low-cost robotic scratching platforms (</w:t>
      </w:r>
      <w:r>
        <w:rPr>
          <w:b w:val="1"/>
        </w:rPr>
        <w:t vyd:_id="vyd:000000000000rn">Lin et al., 2024</w:t>
      </w:r>
      <w:r>
        <w:t vyd:_id="vyd:000000000000rm">), and spatially resolved analysis frameworks now combine wound-edge detection with local cell-trajectory or sector-based measurements (</w:t>
      </w:r>
      <w:r>
        <w:rPr>
          <w:b w:val="1"/>
        </w:rPr>
        <w:t vyd:_id="vyd:000000000000rl">Vašinková et al., 2025</w:t>
      </w:r>
      <w:r>
        <w:t vyd:_id="vyd:000000000000rk">). These developments reinforce the same practical requirement: scratch-assay software should make the image evidence, segmentation assumptions, and analysis context visible alongside the number it reports.</w:t>
      </w:r>
    </w:p>
    <w:p vyd:_id="vyd:000000000000rh">
      <w:pPr>
        <w:pStyle w:val="Heading1"/>
      </w:pPr>
      <w:r>
        <w:rPr>
          <w:rFonts w:ascii="Times New Roman" w:hAnsi="Times New Roman" w:eastAsia="Times New Roman"/>
          <w:sz w:val="24"/>
          <w:color w:val="000000"/>
          <w:b w:val="1"/>
        </w:rPr>
        <w:t vyd:_id="vyd:000000000000ri">Materials and Methods</w:t>
      </w:r>
    </w:p>
    <w:p vyd:_id="vyd:000000000000rf">
      <w:pPr>
        <w:pStyle w:val="Heading2"/>
      </w:pPr>
      <w:r>
        <w:rPr>
          <w:rFonts w:ascii="Times New Roman" w:hAnsi="Times New Roman" w:eastAsia="Times New Roman"/>
          <w:sz w:val="24"/>
          <w:color w:val="000000"/>
          <w:b w:val="1"/>
        </w:rPr>
        <w:t vyd:_id="vyd:000000000000rg">Software implementation</w:t>
      </w:r>
    </w:p>
    <w:p vyd:_id="vyd:000000000000rd">
      <w:r>
        <w:t vyd:_id="vyd:000000000000re">Cytomove is implemented as a single-page browser application using HTML5, the Canvas API, and typed-array operations (Uint8Array, Float32Array, Int32Array) in ES2020+ JavaScript. The entire segmentation pipeline runs client-side; no external image-processing library (ImageJ, OpenCV, or equivalent) is invoked, and no image data is transmitted to a server. A desktop package built with Electron wraps the same analysis code for heavier local workflows and more predictable performance on large images. The public project repository is hosted at https://github.com/zduzgun/CytoMove and a live web version is accessible at https://cytomove.com.</w:t>
      </w:r>
    </w:p>
    <w:p vyd:_id="vyd:000000000000rb">
      <w:r>
        <w:t vyd:_id="vyd:000000000000rc">The zero-dependency design means that Cytomove runs in any modern Chromium- or Firefox-based browser without installation or administrator privileges. In informal local testing, typical single-image analysis completed within seconds on a modern consumer laptop or desktop. Group-level operations (loading, previewing, and analysing a time-course set) were usable for sets of up to approximately 50 frames tested in the current implementation, although formal runtime benchmarking across browsers and operating systems remains planned work. The desktop package provides more consistent performance for very large images or long time-course sets by avoiding browser memory limits.</w:t>
      </w:r>
    </w:p>
    <w:p vyd:_id="vyd:000000000000r9">
      <w:pPr>
        <w:pStyle w:val="Heading2"/>
      </w:pPr>
      <w:r>
        <w:rPr>
          <w:rFonts w:ascii="Times New Roman" w:hAnsi="Times New Roman" w:eastAsia="Times New Roman"/>
          <w:sz w:val="24"/>
          <w:color w:val="000000"/>
          <w:b w:val="1"/>
        </w:rPr>
        <w:t vyd:_id="vyd:000000000000ra">Segmentation algorithm</w:t>
      </w:r>
    </w:p>
    <w:p vyd:_id="vyd:000000000000r7">
      <w:r>
        <w:t vyd:_id="vyd:000000000000r8">The Cytomove segmentation pipeline is an explainable, dependency-free sequence of nine stages. Each stage operates on typed arrays over the raw pixel buffer and corresponds directly to a named step in the exported analysis log, so the contribution of each processing decision remains traceable after the fact.</w:t>
      </w:r>
    </w:p>
    <w:p vyd:_id="vyd:000000000000r4">
      <w:r>
        <w:rPr>
          <w:b w:val="1"/>
        </w:rPr>
        <w:t vyd:_id="vyd:000000000000r6">Stage 1: Grayscale conversion.</w:t>
      </w:r>
      <w:r>
        <w:t vyd:_id="vyd:000000000000r5" xml:space="preserve"> The RGB image is converted to luminance using the ITU-R BT.709 / sRGB perceptual weighting:</w:t>
      </w:r>
    </w:p>
    <w:p vyd:_id="vyd:000000000000r2">
      <w:r>
        <w:t vyd:_id="vyd:000000000000r3">&gt; L(x, y) = 0.2126 · R(x, y) + 0.7152 · G(x, y) + 0.0722 · B(x, y)</w:t>
      </w:r>
    </w:p>
    <w:p vyd:_id="vyd:000000000000r0">
      <w:r>
        <w:t vyd:_id="vyd:000000000000r1">This weighting is perceptually uniform and matches the luminance standard used in display colour spaces; it differs from the older BT.601 coefficients (0.299/0.587/0.114) and from simple channel averaging.</w:t>
      </w:r>
    </w:p>
    <w:p vyd:_id="vyd:000000000000qx">
      <w:r>
        <w:rPr>
          <w:b w:val="1"/>
        </w:rPr>
        <w:t vyd:_id="vyd:000000000000qz">Stage 2: Field-of-view masking.</w:t>
      </w:r>
      <w:r>
        <w:t vyd:_id="vyd:000000000000qy" xml:space="preserve"> An optional cutoff parameter masks dark corners and circular microscope-field borders so that only the imaged field contributes to segmentation. In brightfield mode, pixels below the selected luminance cutoff are excluded from the field mask; for automatic field-of-view cropping, corner luminance samples are also used to estimate dark microscope borders. In phase-contrast (full-field) mode, the field mask covers the full image rectangle. The FOV cutoff is therefore an intensity-threshold control in display-luminance units rather than a percentage.</w:t>
      </w:r>
    </w:p>
    <w:p vyd:_id="vyd:000000000000qu">
      <w:r>
        <w:rPr>
          <w:b w:val="1"/>
        </w:rPr>
        <w:t vyd:_id="vyd:000000000000qw">Stage 3: Contrast enhancement.</w:t>
      </w:r>
      <w:r>
        <w:t vyd:_id="vyd:000000000000qv" xml:space="preserve"> Pixel intensities are clipped to the 1st and 99th percentile values and linearly normalised to [0, 255], stabilising the subsequent variance and threshold steps against illumination outliers and uneven exposure.</w:t>
      </w:r>
    </w:p>
    <w:p vyd:_id="vyd:000000000000qn">
      <w:r>
        <w:rPr>
          <w:b w:val="1"/>
        </w:rPr>
        <w:t vyd:_id="vyd:000000000000qt">Stage 4: Local variance map.</w:t>
      </w:r>
      <w:r>
        <w:t vyd:_id="vyd:000000000000qs" xml:space="preserve"> A local variance is computed for every pixel within a square window of user-selected radius r using a summed-area table (integral image) approach (</w:t>
      </w:r>
      <w:r>
        <w:rPr>
          <w:b w:val="1"/>
        </w:rPr>
        <w:t vyd:_id="vyd:000000000000qr">Crow, 1984</w:t>
      </w:r>
      <w:r>
        <w:t vyd:_id="vyd:000000000000qq" xml:space="preserve">; </w:t>
      </w:r>
      <w:r>
        <w:rPr>
          <w:b w:val="1"/>
        </w:rPr>
        <w:t vyd:_id="vyd:000000000000qp">Viola and Jones, 2001</w:t>
      </w:r>
      <w:r>
        <w:t vyd:_id="vyd:000000000000qo">). Given the luminance image I, two summed-area tables are pre-computed:</w:t>
      </w:r>
    </w:p>
    <w:p vyd:_id="vyd:000000000000ql">
      <w:r>
        <w:t vyd:_id="vyd:000000000000qm">&gt; S₁[x, y] = Σᵢ≤ₓ Σⱼ≤ᵧ I(i, j) &gt; S₂[x, y] = Σᵢ≤ₓ Σⱼ≤ᵧ I(i, j)²</w:t>
      </w:r>
    </w:p>
    <w:p vyd:_id="vyd:000000000000qj">
      <w:r>
        <w:t vyd:_id="vyd:000000000000qk">The local mean μ and local variance σ² over the (2r+1)×(2r+1) window centred at (x, y) are then:</w:t>
      </w:r>
    </w:p>
    <w:p vyd:_id="vyd:000000000000qh">
      <w:r>
        <w:t vyd:_id="vyd:000000000000qi">&gt; μ(x, y) = [S₁ box query] / (2r+1)² &gt; σ²(x, y) = [S₂ box query] / (2r+1)² − μ(x, y)²</w:t>
      </w:r>
    </w:p>
    <w:p vyd:_id="vyd:000000000000qf">
      <w:r>
        <w:t vyd:_id="vyd:000000000000qg">Each box query requires four array lookups, so variance at every pixel is computed in O(1) time regardless of radius. Confluent cell regions exhibit high local texture variance due to cell boundaries, nuclear contrast, and surface texture, whereas the cell-free wound corridor is comparatively smooth and low-variance. This distinction forms the basis for subsequent segmentation.</w:t>
      </w:r>
    </w:p>
    <w:p vyd:_id="vyd:000000000000q8">
      <w:r>
        <w:rPr>
          <w:b w:val="1"/>
        </w:rPr>
        <w:t vyd:_id="vyd:000000000000qe">Stage 5: Thresholding.</w:t>
      </w:r>
      <w:r>
        <w:t vyd:_id="vyd:000000000000qd" xml:space="preserve"> The variance map is thresholded to separate the low-variance wound from the high-variance cell sheet. Otsu's method (</w:t>
      </w:r>
      <w:r>
        <w:rPr>
          <w:b w:val="1"/>
        </w:rPr>
        <w:t vyd:_id="vyd:000000000000qc">Otsu, 1979</w:t>
      </w:r>
      <w:r>
        <w:t vyd:_id="vyd:000000000000qb" xml:space="preserve">) is applied to the variance map to find the threshold T that minimises within-class variance of the binary partition. When the Otsu threshold collapses toward zero on very low-contrast images (a condition detected by comparing T to a percentile-based fallback value), the fallback is applied and the event is recorded in the export log under the field </w:t>
      </w:r>
      <w:r>
        <w:rPr>
          <w:rFonts w:ascii="Consolas" w:hAnsi="Consolas"/>
          <w:sz w:val="19"/>
        </w:rPr>
        <w:t vyd:_id="vyd:000000000000qa">threshold_fallback_used</w:t>
      </w:r>
      <w:r>
        <w:t vyd:_id="vyd:000000000000q9">. The user-exposed threshold parameter applies an additive offset to the raw Otsu value, allowing fine adjustment without requiring the user to interpret raw variance units.</w:t>
      </w:r>
    </w:p>
    <w:p vyd:_id="vyd:000000000000q5">
      <w:commentRangeStart vyd:_id="vyd:mpzu0uh5eawkbb" w:id="2"/>
      <w:r>
        <w:rPr>
          <w:b w:val="1"/>
        </w:rPr>
        <w:t vyd:_id="vyd:000000000000q7">Stage 6: Island filtering.</w:t>
      </w:r>
      <w:r>
        <w:t vyd:_id="vyd:000000000000q6" xml:space="preserve"> Connected components in the initial binary map that fall below a user-set minimum size (in pixels squared) are removed before hole filling. This step suppresses isolated debris, speckles, and small non-wound regions that would otherwise persist as noise in the final mask.</w:t>
      </w:r>
      <w:commentRangeEnd w:id="2"/>
      <w:r>
        <w:commentReference w:id="2"/>
      </w:r>
    </w:p>
    <w:p vyd:_id="vyd:000000000000q0">
      <w:r>
        <w:rPr>
          <w:b w:val="1"/>
        </w:rPr>
        <w:t vyd:_id="vyd:000000000000q4">Stage 7: Small-hole filling.</w:t>
      </w:r>
      <w:r>
        <w:t vyd:_id="vyd:000000000000q3" xml:space="preserve"> Small enclosed holes inside the wound region are identified using a border flood-fill and inversion procedure, related to the Fill Holes operation in standard binary morphology (</w:t>
      </w:r>
      <w:r>
        <w:rPr>
          <w:b w:val="1"/>
        </w:rPr>
        <w:t vyd:_id="vyd:000000000000q2">Soille, 2004</w:t>
      </w:r>
      <w:r>
        <w:t vyd:_id="vyd:000000000000q1">). The selected island-handling level sets the maximum internal hole area that is filled. Larger internal islands are preserved and reported for visual review, so this step suppresses small speckles without hiding substantial cell clusters or bridges inside the wound gap.</w:t>
      </w:r>
    </w:p>
    <w:p vyd:_id="vyd:000000000000px">
      <w:r>
        <w:rPr>
          <w:b w:val="1"/>
        </w:rPr>
        <w:t vyd:_id="vyd:000000000000pz">Stage 8: Continuity and component selection.</w:t>
      </w:r>
      <w:r>
        <w:t vyd:_id="vyd:000000000000py" xml:space="preserve"> Connected components are scored by a combination of central proximity, axis span, and area, and the wound-like continuous component is retained. Additional post-processing steps are applied depending on the selected microscope mode: fragmented components within the wound corridor are bridged; a stable wound corridor is extended to the image frame edge where the wound continues beyond the field of view; and, for phase-contrast images, narrow internal slit artefacts are closed using morphological operations. The bridge, edge-extension, and slit-close pixel counts are recorded in the export log.</w:t>
      </w:r>
    </w:p>
    <w:p vyd:_id="vyd:000000000000pu">
      <w:r>
        <w:rPr>
          <w:b w:val="1"/>
        </w:rPr>
        <w:t vyd:_id="vyd:000000000000pw">Stage 9: Width estimation.</w:t>
      </w:r>
      <w:r>
        <w:t vyd:_id="vyd:000000000000pv" xml:space="preserve"> After applying the selected scratch orientation and any fine rotation, the horizontal span of the wound mask is measured at each image row. Cytomove reports the mean, median, standard deviation, and coefficient of variation of the row-wise widths, together with the count and fraction of image rows classified as valid (i.e., rows within the field of view where the wound is detected). The full width profile supports time-course quality-control summaries and frame-level review labels.</w:t>
      </w:r>
    </w:p>
    <w:p vyd:_id="vyd:000000000000ps">
      <w:pPr>
        <w:pStyle w:val="Heading2"/>
      </w:pPr>
      <w:r>
        <w:rPr>
          <w:rFonts w:ascii="Times New Roman" w:hAnsi="Times New Roman" w:eastAsia="Times New Roman"/>
          <w:sz w:val="24"/>
          <w:color w:val="000000"/>
          <w:b w:val="1"/>
        </w:rPr>
        <w:t vyd:_id="vyd:000000000000pt">Algorithm parameters and presets</w:t>
      </w:r>
    </w:p>
    <w:p vyd:_id="vyd:000000000000pq">
      <w:r>
        <w:t vyd:_id="vyd:000000000000pr">Table 1 lists all user-adjustable segmentation parameters, their ranges, and the values used by each image-type preset. Presets set sensible defaults for common acquisition contexts; any parameter can be overridden individually. When a group of images is loaded, Cytomove samples the images and selects an initial preset automatically; manual preset or microscope-mode changes are treated as user overrides and are not overwritten by subsequent auto-detection.</w:t>
      </w:r>
    </w:p>
    <w:p vyd:_id="vyd:000000000000po">
      <w:commentRangeStart vyd:_id="vyd:mpzu6klb3hsz7y" w:id="3"/>
      <w:r>
        <w:rPr>
          <w:b w:val="1"/>
        </w:rPr>
        <w:t vyd:_id="vyd:000000000000pp">Table 1. Cytomove segmentation parameters and preset values.</w:t>
      </w:r>
    </w:p>
    <w:tbl vyd:_id="vyd:000000000000ld">
      <w:tblPr>
        <w:tblStyle w:val="TableGrid"/>
        <w:tblW w:w="9360" w:type="dxa"/>
        <w:jc w:val="center"/>
        <w:tblLook w:firstRow="1" w:lastRow="0" w:firstColumn="1" w:lastColumn="0" w:noHBand="0" w:noVBand="1" w:val="07c5"/>
      </w:tblPr>
      <w:tblGrid>
        <w:gridCol w:w="1337"/>
        <w:gridCol w:w="1337"/>
        <w:gridCol w:w="1337"/>
        <w:gridCol w:w="1337"/>
        <w:gridCol w:w="1337"/>
        <w:gridCol w:w="1337"/>
        <w:gridCol w:w="1337"/>
      </w:tblGrid>
      <w:tr vyd:_id="vyd:000000000000p2">
        <w:tc vyd:_id="vyd:000000000000pl">
          <w:tcPr>
            <w:shd w:val="clear" w:fill="F2F4F7"/>
            <w:tcMar>
              <w:top w:w="80" w:type="dxa"/>
              <w:start w:w="120" w:type="dxa"/>
              <w:bottom w:w="80" w:type="dxa"/>
              <w:end w:w="120" w:type="dxa"/>
            </w:tcMar>
            <w:vAlign w:val="center"/>
          </w:tcPr>
          <w:p vyd:_id="vyd:000000000000pm">
            <w:pPr>
              <w:spacing w:after="0"/>
              <w:jc w:val="start"/>
            </w:pPr>
            <w:r>
              <w:rPr>
                <w:b w:val="1"/>
              </w:rPr>
              <w:t vyd:_id="vyd:000000000000pn">Parameter</w:t>
            </w:r>
          </w:p>
        </w:tc>
        <w:tc vyd:_id="vyd:000000000000pi">
          <w:tcPr>
            <w:shd w:val="clear" w:fill="F2F4F7"/>
            <w:tcMar>
              <w:top w:w="80" w:type="dxa"/>
              <w:start w:w="120" w:type="dxa"/>
              <w:bottom w:w="80" w:type="dxa"/>
              <w:end w:w="120" w:type="dxa"/>
            </w:tcMar>
            <w:vAlign w:val="center"/>
          </w:tcPr>
          <w:p vyd:_id="vyd:000000000000pj">
            <w:pPr>
              <w:spacing w:after="0"/>
              <w:jc w:val="start"/>
            </w:pPr>
            <w:r>
              <w:rPr>
                <w:b w:val="1"/>
              </w:rPr>
              <w:t vyd:_id="vyd:000000000000pk">Description</w:t>
            </w:r>
          </w:p>
        </w:tc>
        <w:tc vyd:_id="vyd:000000000000pf">
          <w:tcPr>
            <w:shd w:val="clear" w:fill="F2F4F7"/>
            <w:tcMar>
              <w:top w:w="80" w:type="dxa"/>
              <w:start w:w="120" w:type="dxa"/>
              <w:bottom w:w="80" w:type="dxa"/>
              <w:end w:w="120" w:type="dxa"/>
            </w:tcMar>
            <w:vAlign w:val="center"/>
          </w:tcPr>
          <w:p vyd:_id="vyd:000000000000pg">
            <w:pPr>
              <w:spacing w:after="0"/>
              <w:jc w:val="start"/>
            </w:pPr>
            <w:r>
              <w:rPr>
                <w:b w:val="1"/>
              </w:rPr>
              <w:t vyd:_id="vyd:000000000000ph">Range</w:t>
            </w:r>
          </w:p>
        </w:tc>
        <w:tc vyd:_id="vyd:000000000000pc">
          <w:tcPr>
            <w:shd w:val="clear" w:fill="F2F4F7"/>
            <w:tcMar>
              <w:top w:w="80" w:type="dxa"/>
              <w:start w:w="120" w:type="dxa"/>
              <w:bottom w:w="80" w:type="dxa"/>
              <w:end w:w="120" w:type="dxa"/>
            </w:tcMar>
            <w:vAlign w:val="center"/>
          </w:tcPr>
          <w:p vyd:_id="vyd:000000000000pd">
            <w:pPr>
              <w:spacing w:after="0"/>
              <w:jc w:val="start"/>
            </w:pPr>
            <w:r>
              <w:rPr>
                <w:b w:val="1"/>
              </w:rPr>
              <w:t vyd:_id="vyd:000000000000pe">Brightfield normal</w:t>
            </w:r>
          </w:p>
        </w:tc>
        <w:tc vyd:_id="vyd:000000000000p9">
          <w:tcPr>
            <w:shd w:val="clear" w:fill="F2F4F7"/>
            <w:tcMar>
              <w:top w:w="80" w:type="dxa"/>
              <w:start w:w="120" w:type="dxa"/>
              <w:bottom w:w="80" w:type="dxa"/>
              <w:end w:w="120" w:type="dxa"/>
            </w:tcMar>
            <w:vAlign w:val="center"/>
          </w:tcPr>
          <w:p vyd:_id="vyd:000000000000pa">
            <w:pPr>
              <w:spacing w:after="0"/>
              <w:jc w:val="start"/>
            </w:pPr>
            <w:r>
              <w:rPr>
                <w:b w:val="1"/>
              </w:rPr>
              <w:t vyd:_id="vyd:000000000000pb">Brightfield small</w:t>
            </w:r>
          </w:p>
        </w:tc>
        <w:tc vyd:_id="vyd:000000000000p6">
          <w:tcPr>
            <w:shd w:val="clear" w:fill="F2F4F7"/>
            <w:tcMar>
              <w:top w:w="80" w:type="dxa"/>
              <w:start w:w="120" w:type="dxa"/>
              <w:bottom w:w="80" w:type="dxa"/>
              <w:end w:w="120" w:type="dxa"/>
            </w:tcMar>
            <w:vAlign w:val="center"/>
          </w:tcPr>
          <w:p vyd:_id="vyd:000000000000p7">
            <w:pPr>
              <w:spacing w:after="0"/>
              <w:jc w:val="start"/>
            </w:pPr>
            <w:r>
              <w:rPr>
                <w:b w:val="1"/>
              </w:rPr>
              <w:t vyd:_id="vyd:000000000000p8">Phase contrast</w:t>
            </w:r>
          </w:p>
        </w:tc>
        <w:tc vyd:_id="vyd:000000000000p3">
          <w:tcPr>
            <w:shd w:val="clear" w:fill="F2F4F7"/>
            <w:tcMar>
              <w:top w:w="80" w:type="dxa"/>
              <w:start w:w="120" w:type="dxa"/>
              <w:bottom w:w="80" w:type="dxa"/>
              <w:end w:w="120" w:type="dxa"/>
            </w:tcMar>
            <w:vAlign w:val="center"/>
          </w:tcPr>
          <w:p vyd:_id="vyd:000000000000p4">
            <w:pPr>
              <w:spacing w:after="0"/>
              <w:jc w:val="start"/>
            </w:pPr>
            <w:r>
              <w:rPr>
                <w:b w:val="1"/>
              </w:rPr>
              <w:t vyd:_id="vyd:000000000000p5">Phase contrast 2</w:t>
            </w:r>
          </w:p>
        </w:tc>
      </w:tr>
      <w:tr vyd:_id="vyd:000000000000og">
        <w:tc vyd:_id="vyd:000000000000oz">
          <w:tcPr>
            <w:tcMar>
              <w:top w:w="80" w:type="dxa"/>
              <w:start w:w="120" w:type="dxa"/>
              <w:bottom w:w="80" w:type="dxa"/>
              <w:end w:w="120" w:type="dxa"/>
            </w:tcMar>
            <w:vAlign w:val="center"/>
          </w:tcPr>
          <w:p vyd:_id="vyd:000000000000p0">
            <w:pPr>
              <w:spacing w:after="0"/>
              <w:jc w:val="start"/>
            </w:pPr>
            <w:r>
              <w:t vyd:_id="vyd:000000000000p1">Variance radius (px)</w:t>
            </w:r>
          </w:p>
        </w:tc>
        <w:tc vyd:_id="vyd:000000000000ow">
          <w:tcPr>
            <w:tcMar>
              <w:top w:w="80" w:type="dxa"/>
              <w:start w:w="120" w:type="dxa"/>
              <w:bottom w:w="80" w:type="dxa"/>
              <w:end w:w="120" w:type="dxa"/>
            </w:tcMar>
            <w:vAlign w:val="center"/>
          </w:tcPr>
          <w:p vyd:_id="vyd:000000000000ox">
            <w:pPr>
              <w:spacing w:after="0"/>
              <w:jc w:val="start"/>
            </w:pPr>
            <w:r>
              <w:t vyd:_id="vyd:000000000000oy">Half-width of local variance window</w:t>
            </w:r>
          </w:p>
        </w:tc>
        <w:tc vyd:_id="vyd:000000000000ot">
          <w:tcPr>
            <w:tcMar>
              <w:top w:w="80" w:type="dxa"/>
              <w:start w:w="120" w:type="dxa"/>
              <w:bottom w:w="80" w:type="dxa"/>
              <w:end w:w="120" w:type="dxa"/>
            </w:tcMar>
            <w:vAlign w:val="center"/>
          </w:tcPr>
          <w:p vyd:_id="vyd:000000000000ou">
            <w:pPr>
              <w:spacing w:after="0"/>
              <w:jc w:val="start"/>
            </w:pPr>
            <w:r>
              <w:t vyd:_id="vyd:000000000000ov">1 – 45</w:t>
            </w:r>
          </w:p>
        </w:tc>
        <w:tc vyd:_id="vyd:000000000000oq">
          <w:tcPr>
            <w:tcMar>
              <w:top w:w="80" w:type="dxa"/>
              <w:start w:w="120" w:type="dxa"/>
              <w:bottom w:w="80" w:type="dxa"/>
              <w:end w:w="120" w:type="dxa"/>
            </w:tcMar>
            <w:vAlign w:val="center"/>
          </w:tcPr>
          <w:p vyd:_id="vyd:000000000000or">
            <w:pPr>
              <w:spacing w:after="0"/>
              <w:jc w:val="center"/>
            </w:pPr>
            <w:r>
              <w:t vyd:_id="vyd:000000000000os">22</w:t>
            </w:r>
          </w:p>
        </w:tc>
        <w:tc vyd:_id="vyd:000000000000on">
          <w:tcPr>
            <w:tcMar>
              <w:top w:w="80" w:type="dxa"/>
              <w:start w:w="120" w:type="dxa"/>
              <w:bottom w:w="80" w:type="dxa"/>
              <w:end w:w="120" w:type="dxa"/>
            </w:tcMar>
            <w:vAlign w:val="center"/>
          </w:tcPr>
          <w:p vyd:_id="vyd:000000000000oo">
            <w:pPr>
              <w:spacing w:after="0"/>
              <w:jc w:val="center"/>
            </w:pPr>
            <w:r>
              <w:t vyd:_id="vyd:000000000000op">3</w:t>
            </w:r>
          </w:p>
        </w:tc>
        <w:tc vyd:_id="vyd:000000000000ok">
          <w:tcPr>
            <w:tcMar>
              <w:top w:w="80" w:type="dxa"/>
              <w:start w:w="120" w:type="dxa"/>
              <w:bottom w:w="80" w:type="dxa"/>
              <w:end w:w="120" w:type="dxa"/>
            </w:tcMar>
            <w:vAlign w:val="center"/>
          </w:tcPr>
          <w:p vyd:_id="vyd:000000000000ol">
            <w:pPr>
              <w:spacing w:after="0"/>
              <w:jc w:val="center"/>
            </w:pPr>
            <w:r>
              <w:t vyd:_id="vyd:000000000000om">18</w:t>
            </w:r>
          </w:p>
        </w:tc>
        <w:tc vyd:_id="vyd:000000000000oh">
          <w:tcPr>
            <w:tcMar>
              <w:top w:w="80" w:type="dxa"/>
              <w:start w:w="120" w:type="dxa"/>
              <w:bottom w:w="80" w:type="dxa"/>
              <w:end w:w="120" w:type="dxa"/>
            </w:tcMar>
            <w:vAlign w:val="center"/>
          </w:tcPr>
          <w:p vyd:_id="vyd:000000000000oi">
            <w:pPr>
              <w:spacing w:after="0"/>
              <w:jc w:val="center"/>
            </w:pPr>
            <w:r>
              <w:t vyd:_id="vyd:000000000000oj">1</w:t>
            </w:r>
          </w:p>
        </w:tc>
      </w:tr>
      <w:tr vyd:_id="vyd:000000000000nu">
        <w:tc vyd:_id="vyd:000000000000od">
          <w:tcPr>
            <w:tcMar>
              <w:top w:w="80" w:type="dxa"/>
              <w:start w:w="120" w:type="dxa"/>
              <w:bottom w:w="80" w:type="dxa"/>
              <w:end w:w="120" w:type="dxa"/>
            </w:tcMar>
            <w:vAlign w:val="center"/>
          </w:tcPr>
          <w:p vyd:_id="vyd:000000000000oe">
            <w:pPr>
              <w:spacing w:after="0"/>
              <w:jc w:val="start"/>
            </w:pPr>
            <w:r>
              <w:t vyd:_id="vyd:000000000000of">Threshold setting</w:t>
            </w:r>
          </w:p>
        </w:tc>
        <w:tc vyd:_id="vyd:000000000000oa">
          <w:tcPr>
            <w:tcMar>
              <w:top w:w="80" w:type="dxa"/>
              <w:start w:w="120" w:type="dxa"/>
              <w:bottom w:w="80" w:type="dxa"/>
              <w:end w:w="120" w:type="dxa"/>
            </w:tcMar>
            <w:vAlign w:val="center"/>
          </w:tcPr>
          <w:p vyd:_id="vyd:000000000000ob">
            <w:pPr>
              <w:spacing w:after="0"/>
              <w:jc w:val="start"/>
            </w:pPr>
            <w:r>
              <w:t vyd:_id="vyd:000000000000oc">Additive offset (wide mode) or level (small mode) applied to Otsu threshold</w:t>
            </w:r>
          </w:p>
        </w:tc>
        <w:tc vyd:_id="vyd:000000000000o7">
          <w:tcPr>
            <w:tcMar>
              <w:top w:w="80" w:type="dxa"/>
              <w:start w:w="120" w:type="dxa"/>
              <w:bottom w:w="80" w:type="dxa"/>
              <w:end w:w="120" w:type="dxa"/>
            </w:tcMar>
            <w:vAlign w:val="center"/>
          </w:tcPr>
          <w:p vyd:_id="vyd:000000000000o8">
            <w:pPr>
              <w:spacing w:after="0"/>
              <w:jc w:val="start"/>
            </w:pPr>
            <w:r>
              <w:t vyd:_id="vyd:000000000000o9">−100 to +100 (offset); 1 – 50 (level)</w:t>
            </w:r>
          </w:p>
        </w:tc>
        <w:tc vyd:_id="vyd:000000000000o4">
          <w:tcPr>
            <w:tcMar>
              <w:top w:w="80" w:type="dxa"/>
              <w:start w:w="120" w:type="dxa"/>
              <w:bottom w:w="80" w:type="dxa"/>
              <w:end w:w="120" w:type="dxa"/>
            </w:tcMar>
            <w:vAlign w:val="center"/>
          </w:tcPr>
          <w:p vyd:_id="vyd:000000000000o5">
            <w:pPr>
              <w:spacing w:after="0"/>
              <w:jc w:val="start"/>
            </w:pPr>
            <w:r>
              <w:t vyd:_id="vyd:000000000000o6">−32</w:t>
            </w:r>
          </w:p>
        </w:tc>
        <w:tc vyd:_id="vyd:000000000000o1">
          <w:tcPr>
            <w:tcMar>
              <w:top w:w="80" w:type="dxa"/>
              <w:start w:w="120" w:type="dxa"/>
              <w:bottom w:w="80" w:type="dxa"/>
              <w:end w:w="120" w:type="dxa"/>
            </w:tcMar>
            <w:vAlign w:val="center"/>
          </w:tcPr>
          <w:p vyd:_id="vyd:000000000000o2">
            <w:pPr>
              <w:spacing w:after="0"/>
              <w:jc w:val="start"/>
            </w:pPr>
            <w:r>
              <w:t vyd:_id="vyd:000000000000o3">Level 1</w:t>
            </w:r>
          </w:p>
        </w:tc>
        <w:tc vyd:_id="vyd:000000000000ny">
          <w:tcPr>
            <w:tcMar>
              <w:top w:w="80" w:type="dxa"/>
              <w:start w:w="120" w:type="dxa"/>
              <w:bottom w:w="80" w:type="dxa"/>
              <w:end w:w="120" w:type="dxa"/>
            </w:tcMar>
            <w:vAlign w:val="center"/>
          </w:tcPr>
          <w:p vyd:_id="vyd:000000000000nz">
            <w:pPr>
              <w:spacing w:after="0"/>
              <w:jc w:val="start"/>
            </w:pPr>
            <w:r>
              <w:t vyd:_id="vyd:000000000000o0">−25</w:t>
            </w:r>
          </w:p>
        </w:tc>
        <w:tc vyd:_id="vyd:000000000000nv">
          <w:tcPr>
            <w:tcMar>
              <w:top w:w="80" w:type="dxa"/>
              <w:start w:w="120" w:type="dxa"/>
              <w:bottom w:w="80" w:type="dxa"/>
              <w:end w:w="120" w:type="dxa"/>
            </w:tcMar>
            <w:vAlign w:val="center"/>
          </w:tcPr>
          <w:p vyd:_id="vyd:000000000000nw">
            <w:pPr>
              <w:spacing w:after="0"/>
              <w:jc w:val="start"/>
            </w:pPr>
            <w:r>
              <w:t vyd:_id="vyd:000000000000nx">Level 1</w:t>
            </w:r>
          </w:p>
        </w:tc>
      </w:tr>
      <w:tr vyd:_id="vyd:000000000000n8">
        <w:tc vyd:_id="vyd:000000000000nr">
          <w:tcPr>
            <w:tcMar>
              <w:top w:w="80" w:type="dxa"/>
              <w:start w:w="120" w:type="dxa"/>
              <w:bottom w:w="80" w:type="dxa"/>
              <w:end w:w="120" w:type="dxa"/>
            </w:tcMar>
            <w:vAlign w:val="center"/>
          </w:tcPr>
          <w:p vyd:_id="vyd:000000000000ns">
            <w:pPr>
              <w:spacing w:after="0"/>
              <w:jc w:val="start"/>
            </w:pPr>
            <w:r>
              <w:t vyd:_id="vyd:000000000000nt">Min component (px²)</w:t>
            </w:r>
          </w:p>
        </w:tc>
        <w:tc vyd:_id="vyd:000000000000no">
          <w:tcPr>
            <w:tcMar>
              <w:top w:w="80" w:type="dxa"/>
              <w:start w:w="120" w:type="dxa"/>
              <w:bottom w:w="80" w:type="dxa"/>
              <w:end w:w="120" w:type="dxa"/>
            </w:tcMar>
            <w:vAlign w:val="center"/>
          </w:tcPr>
          <w:p vyd:_id="vyd:000000000000np">
            <w:pPr>
              <w:spacing w:after="0"/>
              <w:jc w:val="start"/>
            </w:pPr>
            <w:r>
              <w:t vyd:_id="vyd:000000000000nq">Minimum wound component size retained</w:t>
            </w:r>
          </w:p>
        </w:tc>
        <w:tc vyd:_id="vyd:000000000000nl">
          <w:tcPr>
            <w:tcMar>
              <w:top w:w="80" w:type="dxa"/>
              <w:start w:w="120" w:type="dxa"/>
              <w:bottom w:w="80" w:type="dxa"/>
              <w:end w:w="120" w:type="dxa"/>
            </w:tcMar>
            <w:vAlign w:val="center"/>
          </w:tcPr>
          <w:p vyd:_id="vyd:000000000000nm">
            <w:pPr>
              <w:spacing w:after="0"/>
              <w:jc w:val="start"/>
            </w:pPr>
            <w:r>
              <w:t vyd:_id="vyd:000000000000nn">0 – 100 000</w:t>
            </w:r>
          </w:p>
        </w:tc>
        <w:tc vyd:_id="vyd:000000000000ni">
          <w:tcPr>
            <w:tcMar>
              <w:top w:w="80" w:type="dxa"/>
              <w:start w:w="120" w:type="dxa"/>
              <w:bottom w:w="80" w:type="dxa"/>
              <w:end w:w="120" w:type="dxa"/>
            </w:tcMar>
            <w:vAlign w:val="center"/>
          </w:tcPr>
          <w:p vyd:_id="vyd:000000000000nj">
            <w:pPr>
              <w:spacing w:after="0"/>
              <w:jc w:val="center"/>
            </w:pPr>
            <w:r>
              <w:t vyd:_id="vyd:000000000000nk">55 000</w:t>
            </w:r>
          </w:p>
        </w:tc>
        <w:tc vyd:_id="vyd:000000000000nf">
          <w:tcPr>
            <w:tcMar>
              <w:top w:w="80" w:type="dxa"/>
              <w:start w:w="120" w:type="dxa"/>
              <w:bottom w:w="80" w:type="dxa"/>
              <w:end w:w="120" w:type="dxa"/>
            </w:tcMar>
            <w:vAlign w:val="center"/>
          </w:tcPr>
          <w:p vyd:_id="vyd:000000000000ng">
            <w:pPr>
              <w:spacing w:after="0"/>
              <w:jc w:val="center"/>
            </w:pPr>
            <w:r>
              <w:t vyd:_id="vyd:000000000000nh">0</w:t>
            </w:r>
          </w:p>
        </w:tc>
        <w:tc vyd:_id="vyd:000000000000nc">
          <w:tcPr>
            <w:tcMar>
              <w:top w:w="80" w:type="dxa"/>
              <w:start w:w="120" w:type="dxa"/>
              <w:bottom w:w="80" w:type="dxa"/>
              <w:end w:w="120" w:type="dxa"/>
            </w:tcMar>
            <w:vAlign w:val="center"/>
          </w:tcPr>
          <w:p vyd:_id="vyd:000000000000nd">
            <w:pPr>
              <w:spacing w:after="0"/>
              <w:jc w:val="center"/>
            </w:pPr>
            <w:r>
              <w:t vyd:_id="vyd:000000000000ne">20 000</w:t>
            </w:r>
          </w:p>
        </w:tc>
        <w:tc vyd:_id="vyd:000000000000n9">
          <w:tcPr>
            <w:tcMar>
              <w:top w:w="80" w:type="dxa"/>
              <w:start w:w="120" w:type="dxa"/>
              <w:bottom w:w="80" w:type="dxa"/>
              <w:end w:w="120" w:type="dxa"/>
            </w:tcMar>
            <w:vAlign w:val="center"/>
          </w:tcPr>
          <w:p vyd:_id="vyd:000000000000na">
            <w:pPr>
              <w:spacing w:after="0"/>
              <w:jc w:val="center"/>
            </w:pPr>
            <w:r>
              <w:t vyd:_id="vyd:000000000000nb">0</w:t>
            </w:r>
          </w:p>
        </w:tc>
      </w:tr>
      <w:tr vyd:_id="vyd:000000000000mm">
        <w:tc vyd:_id="vyd:000000000000n5">
          <w:tcPr>
            <w:tcMar>
              <w:top w:w="80" w:type="dxa"/>
              <w:start w:w="120" w:type="dxa"/>
              <w:bottom w:w="80" w:type="dxa"/>
              <w:end w:w="120" w:type="dxa"/>
            </w:tcMar>
            <w:vAlign w:val="center"/>
          </w:tcPr>
          <w:p vyd:_id="vyd:000000000000n6">
            <w:pPr>
              <w:spacing w:after="0"/>
              <w:jc w:val="start"/>
            </w:pPr>
            <w:r>
              <w:t vyd:_id="vyd:000000000000n7">Island handling</w:t>
            </w:r>
          </w:p>
        </w:tc>
        <w:tc vyd:_id="vyd:000000000000n2">
          <w:tcPr>
            <w:tcMar>
              <w:top w:w="80" w:type="dxa"/>
              <w:start w:w="120" w:type="dxa"/>
              <w:bottom w:w="80" w:type="dxa"/>
              <w:end w:w="120" w:type="dxa"/>
            </w:tcMar>
            <w:vAlign w:val="center"/>
          </w:tcPr>
          <w:p vyd:_id="vyd:000000000000n3">
            <w:pPr>
              <w:spacing w:after="0"/>
              <w:jc w:val="start"/>
            </w:pPr>
            <w:r>
              <w:t vyd:_id="vyd:000000000000n4">Maximum size of internal islands filled</w:t>
            </w:r>
          </w:p>
        </w:tc>
        <w:tc vyd:_id="vyd:000000000000mz">
          <w:tcPr>
            <w:tcMar>
              <w:top w:w="80" w:type="dxa"/>
              <w:start w:w="120" w:type="dxa"/>
              <w:bottom w:w="80" w:type="dxa"/>
              <w:end w:w="120" w:type="dxa"/>
            </w:tcMar>
            <w:vAlign w:val="center"/>
          </w:tcPr>
          <w:p vyd:_id="vyd:000000000000n0">
            <w:pPr>
              <w:spacing w:after="0"/>
              <w:jc w:val="start"/>
            </w:pPr>
            <w:r>
              <w:t vyd:_id="vyd:000000000000n1">Off / Trace / VL / Low / Moderate / Medium / High</w:t>
            </w:r>
          </w:p>
        </w:tc>
        <w:tc vyd:_id="vyd:000000000000mw">
          <w:tcPr>
            <w:tcMar>
              <w:top w:w="80" w:type="dxa"/>
              <w:start w:w="120" w:type="dxa"/>
              <w:bottom w:w="80" w:type="dxa"/>
              <w:end w:w="120" w:type="dxa"/>
            </w:tcMar>
            <w:vAlign w:val="center"/>
          </w:tcPr>
          <w:p vyd:_id="vyd:000000000000mx">
            <w:pPr>
              <w:spacing w:after="0"/>
              <w:jc w:val="start"/>
            </w:pPr>
            <w:r>
              <w:t vyd:_id="vyd:000000000000my">Medium</w:t>
            </w:r>
          </w:p>
        </w:tc>
        <w:tc vyd:_id="vyd:000000000000mt">
          <w:tcPr>
            <w:tcMar>
              <w:top w:w="80" w:type="dxa"/>
              <w:start w:w="120" w:type="dxa"/>
              <w:bottom w:w="80" w:type="dxa"/>
              <w:end w:w="120" w:type="dxa"/>
            </w:tcMar>
            <w:vAlign w:val="center"/>
          </w:tcPr>
          <w:p vyd:_id="vyd:000000000000mu">
            <w:pPr>
              <w:spacing w:after="0"/>
              <w:jc w:val="start"/>
            </w:pPr>
            <w:r>
              <w:t vyd:_id="vyd:000000000000mv">Trace</w:t>
            </w:r>
          </w:p>
        </w:tc>
        <w:tc vyd:_id="vyd:000000000000mq">
          <w:tcPr>
            <w:tcMar>
              <w:top w:w="80" w:type="dxa"/>
              <w:start w:w="120" w:type="dxa"/>
              <w:bottom w:w="80" w:type="dxa"/>
              <w:end w:w="120" w:type="dxa"/>
            </w:tcMar>
            <w:vAlign w:val="center"/>
          </w:tcPr>
          <w:p vyd:_id="vyd:000000000000mr">
            <w:pPr>
              <w:spacing w:after="0"/>
              <w:jc w:val="start"/>
            </w:pPr>
            <w:r>
              <w:t vyd:_id="vyd:000000000000ms">Low</w:t>
            </w:r>
          </w:p>
        </w:tc>
        <w:tc vyd:_id="vyd:000000000000mn">
          <w:tcPr>
            <w:tcMar>
              <w:top w:w="80" w:type="dxa"/>
              <w:start w:w="120" w:type="dxa"/>
              <w:bottom w:w="80" w:type="dxa"/>
              <w:end w:w="120" w:type="dxa"/>
            </w:tcMar>
            <w:vAlign w:val="center"/>
          </w:tcPr>
          <w:p vyd:_id="vyd:000000000000mo">
            <w:pPr>
              <w:spacing w:after="0"/>
              <w:jc w:val="start"/>
            </w:pPr>
            <w:r>
              <w:t vyd:_id="vyd:000000000000mp">Trace</w:t>
            </w:r>
          </w:p>
        </w:tc>
      </w:tr>
      <w:tr vyd:_id="vyd:000000000000m0">
        <w:tc vyd:_id="vyd:000000000000mj">
          <w:tcPr>
            <w:tcMar>
              <w:top w:w="80" w:type="dxa"/>
              <w:start w:w="120" w:type="dxa"/>
              <w:bottom w:w="80" w:type="dxa"/>
              <w:end w:w="120" w:type="dxa"/>
            </w:tcMar>
            <w:vAlign w:val="center"/>
          </w:tcPr>
          <w:p vyd:_id="vyd:000000000000mk">
            <w:pPr>
              <w:spacing w:after="0"/>
              <w:jc w:val="start"/>
            </w:pPr>
            <w:r>
              <w:t vyd:_id="vyd:000000000000ml">FOV cutoff</w:t>
            </w:r>
          </w:p>
        </w:tc>
        <w:tc vyd:_id="vyd:000000000000mg">
          <w:tcPr>
            <w:tcMar>
              <w:top w:w="80" w:type="dxa"/>
              <w:start w:w="120" w:type="dxa"/>
              <w:bottom w:w="80" w:type="dxa"/>
              <w:end w:w="120" w:type="dxa"/>
            </w:tcMar>
            <w:vAlign w:val="center"/>
          </w:tcPr>
          <w:p vyd:_id="vyd:000000000000mh">
            <w:pPr>
              <w:spacing w:after="0"/>
              <w:jc w:val="start"/>
            </w:pPr>
            <w:r>
              <w:t vyd:_id="vyd:000000000000mi">Luminance cutoff for excluding dark microscope-field borders</w:t>
            </w:r>
          </w:p>
        </w:tc>
        <w:tc vyd:_id="vyd:000000000000md">
          <w:tcPr>
            <w:tcMar>
              <w:top w:w="80" w:type="dxa"/>
              <w:start w:w="120" w:type="dxa"/>
              <w:bottom w:w="80" w:type="dxa"/>
              <w:end w:w="120" w:type="dxa"/>
            </w:tcMar>
            <w:vAlign w:val="center"/>
          </w:tcPr>
          <w:p vyd:_id="vyd:000000000000me">
            <w:pPr>
              <w:spacing w:after="0"/>
              <w:jc w:val="start"/>
            </w:pPr>
            <w:r>
              <w:t vyd:_id="vyd:000000000000mf">0 – 180</w:t>
            </w:r>
          </w:p>
        </w:tc>
        <w:tc vyd:_id="vyd:000000000000ma">
          <w:tcPr>
            <w:tcMar>
              <w:top w:w="80" w:type="dxa"/>
              <w:start w:w="120" w:type="dxa"/>
              <w:bottom w:w="80" w:type="dxa"/>
              <w:end w:w="120" w:type="dxa"/>
            </w:tcMar>
            <w:vAlign w:val="center"/>
          </w:tcPr>
          <w:p vyd:_id="vyd:000000000000mb">
            <w:pPr>
              <w:spacing w:after="0"/>
              <w:jc w:val="center"/>
            </w:pPr>
            <w:r>
              <w:t vyd:_id="vyd:000000000000mc">36</w:t>
            </w:r>
          </w:p>
        </w:tc>
        <w:tc vyd:_id="vyd:000000000000m7">
          <w:tcPr>
            <w:tcMar>
              <w:top w:w="80" w:type="dxa"/>
              <w:start w:w="120" w:type="dxa"/>
              <w:bottom w:w="80" w:type="dxa"/>
              <w:end w:w="120" w:type="dxa"/>
            </w:tcMar>
            <w:vAlign w:val="center"/>
          </w:tcPr>
          <w:p vyd:_id="vyd:000000000000m8">
            <w:pPr>
              <w:spacing w:after="0"/>
              <w:jc w:val="center"/>
            </w:pPr>
            <w:r>
              <w:t vyd:_id="vyd:000000000000m9">18</w:t>
            </w:r>
          </w:p>
        </w:tc>
        <w:tc vyd:_id="vyd:000000000000m4">
          <w:tcPr>
            <w:tcMar>
              <w:top w:w="80" w:type="dxa"/>
              <w:start w:w="120" w:type="dxa"/>
              <w:bottom w:w="80" w:type="dxa"/>
              <w:end w:w="120" w:type="dxa"/>
            </w:tcMar>
            <w:vAlign w:val="center"/>
          </w:tcPr>
          <w:p vyd:_id="vyd:000000000000m5">
            <w:pPr>
              <w:spacing w:after="0"/>
              <w:jc w:val="center"/>
            </w:pPr>
            <w:r>
              <w:t vyd:_id="vyd:000000000000m6">0</w:t>
            </w:r>
          </w:p>
        </w:tc>
        <w:tc vyd:_id="vyd:000000000000m1">
          <w:tcPr>
            <w:tcMar>
              <w:top w:w="80" w:type="dxa"/>
              <w:start w:w="120" w:type="dxa"/>
              <w:bottom w:w="80" w:type="dxa"/>
              <w:end w:w="120" w:type="dxa"/>
            </w:tcMar>
            <w:vAlign w:val="center"/>
          </w:tcPr>
          <w:p vyd:_id="vyd:000000000000m2">
            <w:pPr>
              <w:spacing w:after="0"/>
              <w:jc w:val="center"/>
            </w:pPr>
            <w:r>
              <w:t vyd:_id="vyd:000000000000m3">18</w:t>
            </w:r>
          </w:p>
        </w:tc>
      </w:tr>
      <w:tr vyd:_id="vyd:000000000000le">
        <w:tc vyd:_id="vyd:000000000000lx">
          <w:tcPr>
            <w:tcMar>
              <w:top w:w="80" w:type="dxa"/>
              <w:start w:w="120" w:type="dxa"/>
              <w:bottom w:w="80" w:type="dxa"/>
              <w:end w:w="120" w:type="dxa"/>
            </w:tcMar>
            <w:vAlign w:val="center"/>
          </w:tcPr>
          <w:p vyd:_id="vyd:000000000000ly">
            <w:pPr>
              <w:spacing w:after="0"/>
              <w:jc w:val="start"/>
            </w:pPr>
            <w:r>
              <w:t vyd:_id="vyd:000000000000lz">Microscope mode</w:t>
            </w:r>
          </w:p>
        </w:tc>
        <w:tc vyd:_id="vyd:000000000000lu">
          <w:tcPr>
            <w:tcMar>
              <w:top w:w="80" w:type="dxa"/>
              <w:start w:w="120" w:type="dxa"/>
              <w:bottom w:w="80" w:type="dxa"/>
              <w:end w:w="120" w:type="dxa"/>
            </w:tcMar>
            <w:vAlign w:val="center"/>
          </w:tcPr>
          <w:p vyd:_id="vyd:000000000000lv">
            <w:pPr>
              <w:spacing w:after="0"/>
              <w:jc w:val="start"/>
            </w:pPr>
            <w:r>
              <w:t vyd:_id="vyd:000000000000lw">Field-of-view masking strategy</w:t>
            </w:r>
          </w:p>
        </w:tc>
        <w:tc vyd:_id="vyd:000000000000lr">
          <w:tcPr>
            <w:tcMar>
              <w:top w:w="80" w:type="dxa"/>
              <w:start w:w="120" w:type="dxa"/>
              <w:bottom w:w="80" w:type="dxa"/>
              <w:end w:w="120" w:type="dxa"/>
            </w:tcMar>
            <w:vAlign w:val="center"/>
          </w:tcPr>
          <w:p vyd:_id="vyd:000000000000ls">
            <w:pPr>
              <w:spacing w:after="0"/>
              <w:jc w:val="start"/>
            </w:pPr>
            <w:r>
              <w:t vyd:_id="vyd:000000000000lt">Brightfield / Full-field</w:t>
            </w:r>
          </w:p>
        </w:tc>
        <w:tc vyd:_id="vyd:000000000000lo">
          <w:tcPr>
            <w:tcMar>
              <w:top w:w="80" w:type="dxa"/>
              <w:start w:w="120" w:type="dxa"/>
              <w:bottom w:w="80" w:type="dxa"/>
              <w:end w:w="120" w:type="dxa"/>
            </w:tcMar>
            <w:vAlign w:val="center"/>
          </w:tcPr>
          <w:p vyd:_id="vyd:000000000000lp">
            <w:pPr>
              <w:spacing w:after="0"/>
              <w:jc w:val="start"/>
            </w:pPr>
            <w:r>
              <w:t vyd:_id="vyd:000000000000lq">Brightfield</w:t>
            </w:r>
          </w:p>
        </w:tc>
        <w:tc vyd:_id="vyd:000000000000ll">
          <w:tcPr>
            <w:tcMar>
              <w:top w:w="80" w:type="dxa"/>
              <w:start w:w="120" w:type="dxa"/>
              <w:bottom w:w="80" w:type="dxa"/>
              <w:end w:w="120" w:type="dxa"/>
            </w:tcMar>
            <w:vAlign w:val="center"/>
          </w:tcPr>
          <w:p vyd:_id="vyd:000000000000lm">
            <w:pPr>
              <w:spacing w:after="0"/>
              <w:jc w:val="start"/>
            </w:pPr>
            <w:r>
              <w:t vyd:_id="vyd:000000000000ln">Brightfield</w:t>
            </w:r>
          </w:p>
        </w:tc>
        <w:tc vyd:_id="vyd:000000000000li">
          <w:tcPr>
            <w:tcMar>
              <w:top w:w="80" w:type="dxa"/>
              <w:start w:w="120" w:type="dxa"/>
              <w:bottom w:w="80" w:type="dxa"/>
              <w:end w:w="120" w:type="dxa"/>
            </w:tcMar>
            <w:vAlign w:val="center"/>
          </w:tcPr>
          <w:p vyd:_id="vyd:000000000000lj">
            <w:pPr>
              <w:spacing w:after="0"/>
              <w:jc w:val="start"/>
            </w:pPr>
            <w:r>
              <w:t vyd:_id="vyd:000000000000lk">Full-field</w:t>
            </w:r>
          </w:p>
        </w:tc>
        <w:tc vyd:_id="vyd:000000000000lf">
          <w:tcPr>
            <w:tcMar>
              <w:top w:w="80" w:type="dxa"/>
              <w:start w:w="120" w:type="dxa"/>
              <w:bottom w:w="80" w:type="dxa"/>
              <w:end w:w="120" w:type="dxa"/>
            </w:tcMar>
            <w:vAlign w:val="center"/>
          </w:tcPr>
          <w:p vyd:_id="vyd:000000000000lg">
            <w:pPr>
              <w:spacing w:after="0"/>
              <w:jc w:val="start"/>
            </w:pPr>
            <w:r>
              <w:t vyd:_id="vyd:000000000000lh">Brightfield</w:t>
            </w:r>
            <w:commentRangeEnd w:id="3"/>
            <w:r>
              <w:commentReference w:id="3"/>
            </w:r>
          </w:p>
        </w:tc>
      </w:tr>
    </w:tbl>
    <w:p vyd:_id="vyd:000000000000lc"/>
    <w:p vyd:_id="vyd:000000000000l2">
      <w:r>
        <w:t vyd:_id="vyd:000000000000lb" xml:space="preserve">The </w:t>
      </w:r>
      <w:r>
        <w:rPr>
          <w:i w:val="1"/>
        </w:rPr>
        <w:t vyd:_id="vyd:000000000000la">Brightfield normal</w:t>
      </w:r>
      <w:r>
        <w:t vyd:_id="vyd:000000000000l9" xml:space="preserve"> preset is optimised for standard-contrast brightfield images with clearly delineated wound corridors. The </w:t>
      </w:r>
      <w:r>
        <w:rPr>
          <w:i w:val="1"/>
        </w:rPr>
        <w:t vyd:_id="vyd:000000000000l8">Brightfield small</w:t>
      </w:r>
      <w:r>
        <w:t vyd:_id="vyd:000000000000l7" xml:space="preserve"> preset uses a narrower variance window and aggressive threshold to handle densely packed small-cell monolayers. The </w:t>
      </w:r>
      <w:r>
        <w:rPr>
          <w:i w:val="1"/>
        </w:rPr>
        <w:t vyd:_id="vyd:000000000000l6">Phase contrast</w:t>
      </w:r>
      <w:r>
        <w:t vyd:_id="vyd:000000000000l5" xml:space="preserve"> preset uses full-field masking and a wider variance window suited to phase-contrast images where the cell sheet appears bright-halo. The </w:t>
      </w:r>
      <w:r>
        <w:rPr>
          <w:i w:val="1"/>
        </w:rPr>
        <w:t vyd:_id="vyd:000000000000l4">Phase contrast 2</w:t>
      </w:r>
      <w:r>
        <w:t vyd:_id="vyd:000000000000l3" xml:space="preserve"> preset uses brightfield-style low-variance settings effective for speckled or high-debris phase-contrast datasets.</w:t>
      </w:r>
    </w:p>
    <w:p vyd:_id="vyd:000000000000l0">
      <w:pPr>
        <w:pStyle w:val="Heading2"/>
      </w:pPr>
      <w:r>
        <w:rPr>
          <w:rFonts w:ascii="Times New Roman" w:hAnsi="Times New Roman" w:eastAsia="Times New Roman"/>
          <w:sz w:val="24"/>
          <w:color w:val="000000"/>
          <w:b w:val="1"/>
        </w:rPr>
        <w:t vyd:_id="vyd:000000000000l1">Software functionalities</w:t>
      </w:r>
    </w:p>
    <w:p vyd:_id="vyd:000000000000ku">
      <w:r>
        <w:t vyd:_id="vyd:000000000000kz" xml:space="preserve">Cytomove integrates adjustable segmentation parameters, overlay-based wound review, quality-control summaries, and frame-level group navigation in a single workspace (Figure 1). It supports two analysis modes. In </w:t>
      </w:r>
      <w:r>
        <w:rPr>
          <w:b w:val="1"/>
        </w:rPr>
        <w:t vyd:_id="vyd:000000000000ky">single-image mode</w:t>
      </w:r>
      <w:r>
        <w:t vyd:_id="vyd:000000000000kx" xml:space="preserve">, one image is displayed in a review canvas with its segmentation overlay, current measurements, and quality-control labels; the user can adjust parameters and apply manual corrections before exporting. In </w:t>
      </w:r>
      <w:r>
        <w:rPr>
          <w:b w:val="1"/>
        </w:rPr>
        <w:t vyd:_id="vyd:000000000000kw">group mode</w:t>
      </w:r>
      <w:r>
        <w:t vyd:_id="vyd:000000000000kv">, multiple images (a time course or treatment set) are loaded together, reviewed frame by frame through thumbnail cards, and exported as group-level tables, plots, and overlay archives; each image retains its own segmentation settings stored in memory for the session.</w:t>
      </w:r>
    </w:p>
    <w:p vyd:_id="vyd:000000000000kk">
      <w:r>
        <w:t vyd:_id="vyd:000000000000kt" xml:space="preserve">The segmentation output is displayed as a contour overlay on the source image rather than as a separate binary mask (Figure 2), letting the user inspect, before exporting any number, whether the wound corridor was captured correctly, whether cells inside the wound were treated appropriately, whether circular field borders were excluded, and whether near-closure regions remain biologically meaningful. When automatic segmentation is insufficient, Cytomove provides four local manual-correction tools that operate on a dragged rectangular region of interest: </w:t>
      </w:r>
      <w:r>
        <w:rPr>
          <w:b w:val="1"/>
        </w:rPr>
        <w:t vyd:_id="vyd:000000000000ks">Add scan</w:t>
      </w:r>
      <w:r>
        <w:t vyd:_id="vyd:000000000000kr" xml:space="preserve"> (local fine threshold, writes back the largest connected gap component); </w:t>
      </w:r>
      <w:r>
        <w:rPr>
          <w:b w:val="1"/>
        </w:rPr>
        <w:t vyd:_id="vyd:000000000000kq">Fill</w:t>
      </w:r>
      <w:r>
        <w:t vyd:_id="vyd:000000000000kp" xml:space="preserve"> (direct region fill); </w:t>
      </w:r>
      <w:r>
        <w:rPr>
          <w:b w:val="1"/>
        </w:rPr>
        <w:t vyd:_id="vyd:000000000000ko">Erase</w:t>
      </w:r>
      <w:r>
        <w:t vyd:_id="vyd:000000000000kn" xml:space="preserve"> (clear mask in region); and </w:t>
      </w:r>
      <w:r>
        <w:rPr>
          <w:b w:val="1"/>
        </w:rPr>
        <w:t vyd:_id="vyd:000000000000km">Clean specks</w:t>
      </w:r>
      <w:r>
        <w:t vyd:_id="vyd:000000000000kl" xml:space="preserve"> (remove small mask components below a size threshold). Corrections persist across image navigation and are flagged in the export metadata.</w:t>
      </w:r>
    </w:p>
    <w:p vyd:_id="vyd:000000000000kc">
      <w:r>
        <w:t vyd:_id="vyd:000000000000kj">For every analysed image, Cytomove exports: wound area in pixels; wound area fraction (wound area / field area); mean, median, standard deviation, and coefficient of variation of row-wise wound width; valid-row count and fraction; quality-control labels and warnings; the recommended primary metric (</w:t>
      </w:r>
      <w:r>
        <w:rPr>
          <w:rFonts w:ascii="Consolas" w:hAnsi="Consolas"/>
          <w:sz w:val="19"/>
        </w:rPr>
        <w:t vyd:_id="vyd:000000000000ki">area_and_width</w:t>
      </w:r>
      <w:r>
        <w:t vyd:_id="vyd:000000000000kh" xml:space="preserve">, </w:t>
      </w:r>
      <w:r>
        <w:rPr>
          <w:rFonts w:ascii="Consolas" w:hAnsi="Consolas"/>
          <w:sz w:val="19"/>
        </w:rPr>
        <w:t vyd:_id="vyd:000000000000kg">width_preferred</w:t>
      </w:r>
      <w:r>
        <w:t vyd:_id="vyd:000000000000kf" xml:space="preserve">, or </w:t>
      </w:r>
      <w:r>
        <w:rPr>
          <w:rFonts w:ascii="Consolas" w:hAnsi="Consolas"/>
          <w:sz w:val="19"/>
        </w:rPr>
        <w:t vyd:_id="vyd:000000000000ke">review_required</w:t>
      </w:r>
      <w:r>
        <w:t vyd:_id="vyd:000000000000kd">); crop coordinates and rotation angle; the full set of segmentation parameters; manual-correction status; image dimensions; the algorithm version string; and source metadata where available. Group exports retain the per-frame time point, area, and width values needed to reproduce closure calculations. Exports are provided as CSV and Excel tables (per-image and group-level), PNG overlay images, grouped overlay ZIP archives, and time-course plot images.</w:t>
      </w:r>
    </w:p>
    <w:p vyd:_id="vyd:000000000000ka">
      <w:pPr>
        <w:pStyle w:val="Heading2"/>
      </w:pPr>
      <w:r>
        <w:rPr>
          <w:rFonts w:ascii="Times New Roman" w:hAnsi="Times New Roman" w:eastAsia="Times New Roman"/>
          <w:sz w:val="24"/>
          <w:color w:val="000000"/>
          <w:b w:val="1"/>
        </w:rPr>
        <w:t vyd:_id="vyd:000000000000kb">Wound closure percentage</w:t>
      </w:r>
    </w:p>
    <w:p vyd:_id="vyd:000000000000k8">
      <w:r>
        <w:t vyd:_id="vyd:000000000000k9">Wound closure percentage at time point t relative to a reference time point t₀ is computed as:</w:t>
      </w:r>
    </w:p>
    <w:p vyd:_id="vyd:000000000000k6">
      <w:r>
        <w:t vyd:_id="vyd:000000000000k7">&gt; WC%(t) = (A(t₀) − A(t)) / A(t₀) × 100</w:t>
      </w:r>
    </w:p>
    <w:p vyd:_id="vyd:000000000000k4">
      <w:r>
        <w:t vyd:_id="vyd:000000000000k5">where A(t) is the wound area in pixels at time t. In group review, the earliest or baseline frame is used as the reference for time-course summaries, and the exported per-frame area values allow WC% to be recomputed from the same measurements. For the validation summaries reported here, closure estimates were interpreted descriptively alongside the raw area trajectories and visual overlays rather than treated as independent primary accuracy endpoints.</w:t>
      </w:r>
    </w:p>
    <w:p vyd:_id="vyd:000000000000k2">
      <w:pPr>
        <w:pStyle w:val="Heading2"/>
      </w:pPr>
      <w:r>
        <w:rPr>
          <w:rFonts w:ascii="Times New Roman" w:hAnsi="Times New Roman" w:eastAsia="Times New Roman"/>
          <w:sz w:val="24"/>
          <w:color w:val="000000"/>
          <w:b w:val="1"/>
        </w:rPr>
        <w:t vyd:_id="vyd:000000000000k3">Statistical analysis</w:t>
      </w:r>
    </w:p>
    <w:p vyd:_id="vyd:000000000000k0">
      <w:r>
        <w:t vyd:_id="vyd:000000000000k1" xml:space="preserve">Agreement between Cytomove and WHST measurements was quantified using five complementary statistics for both wound area and wound width. Let </w:t>
      </w:r>
      <w:commentRangeStart vyd:_id="vyd:mpzude3dfr4adt" w:id="4"/>
      <w:r>
        <w:t vyd:_id="vyd:mpzude3e4fkgyi">y_i</w:t>
      </w:r>
      <w:commentRangeEnd w:id="4"/>
      <w:r>
        <w:commentReference w:id="4"/>
      </w:r>
      <w:r>
        <w:t vyd:_id="vyd:mpzude3ddyrts2" xml:space="preserve"> denote the WHST reference value and ŷ_i the Cytomove measurement for paired observation i across n frames in a dataset.</w:t>
      </w:r>
    </w:p>
    <w:p vyd:_id="vyd:000000000000jw">
      <w:r>
        <w:t vyd:_id="vyd:000000000000jz" xml:space="preserve">The </w:t>
      </w:r>
      <w:r>
        <w:rPr>
          <w:b w:val="1"/>
        </w:rPr>
        <w:t vyd:_id="vyd:000000000000jy">mean absolute percentage error</w:t>
      </w:r>
      <w:r>
        <w:t vyd:_id="vyd:000000000000jx" xml:space="preserve"> (MAPE) captures average relative discrepancy:</w:t>
      </w:r>
    </w:p>
    <w:p vyd:_id="vyd:000000000000ju">
      <w:r>
        <w:t vyd:_id="vyd:000000000000jv">&gt; MAPE = (1/n) Σᵢ (|ŷᵢ − yᵢ| / yᵢ) × 100</w:t>
      </w:r>
    </w:p>
    <w:p vyd:_id="vyd:000000000000jk">
      <w:r>
        <w:t vyd:_id="vyd:000000000000jt" xml:space="preserve">The </w:t>
      </w:r>
      <w:r>
        <w:rPr>
          <w:b w:val="1"/>
        </w:rPr>
        <w:t vyd:_id="vyd:000000000000js">median absolute percentage error</w:t>
      </w:r>
      <w:r>
        <w:t vyd:_id="vyd:000000000000jr" xml:space="preserve"> is reported alongside MAPE because, in time courses that approach closure, the residual wound becomes very small and a single large relative error can dominate the dataset mean. The </w:t>
      </w:r>
      <w:r>
        <w:rPr>
          <w:b w:val="1"/>
        </w:rPr>
        <w:t vyd:_id="vyd:000000000000jq">maximum absolute percentage error</w:t>
      </w:r>
      <w:r>
        <w:t vyd:_id="vyd:000000000000jp" xml:space="preserve"> identifies the most discrepant frame and guides targeted visual review. The </w:t>
      </w:r>
      <w:r>
        <w:rPr>
          <w:b w:val="1"/>
        </w:rPr>
        <w:t vyd:_id="vyd:000000000000jo">mean signed percentage error</w:t>
      </w:r>
      <w:r>
        <w:t vyd:_id="vyd:000000000000jn" xml:space="preserve"> indicates systematic over- or under-measurement. The </w:t>
      </w:r>
      <w:r>
        <w:rPr>
          <w:b w:val="1"/>
        </w:rPr>
        <w:t vyd:_id="vyd:000000000000jm">Pearson product-moment correlation coefficient</w:t>
      </w:r>
      <w:r>
        <w:t vyd:_id="vyd:000000000000jl" xml:space="preserve"> r captures trend concordance across the time course.</w:t>
      </w:r>
    </w:p>
    <w:p vyd:_id="vyd:000000000000jg">
      <w:r>
        <w:t vyd:_id="vyd:000000000000jj">Bland–Altman analysis (</w:t>
      </w:r>
      <w:r>
        <w:rPr>
          <w:b w:val="1"/>
        </w:rPr>
        <w:t vyd:_id="vyd:000000000000ji">Bland and Altman, 1986</w:t>
      </w:r>
      <w:r>
        <w:t vyd:_id="vyd:000000000000jh">) was performed on the pooled absolute area scale (in megapixels) rather than as a percentage difference, because percentage differences are numerically unstable for near-closure frames where the denominator approaches zero. The median Cytomove-minus-WHST difference and the 2.5th–97.5th percentile limits of agreement are reported. A non-parametric percentile interval is used rather than ±1.96 SD because the pooled data include time-course frames that are not independent observations. All statistics were computed in Python using NumPy and SciPy.</w:t>
      </w:r>
    </w:p>
    <w:p vyd:_id="vyd:000000000000je">
      <w:pPr>
        <w:pStyle w:val="Heading2"/>
      </w:pPr>
      <w:r>
        <w:rPr>
          <w:rFonts w:ascii="Times New Roman" w:hAnsi="Times New Roman" w:eastAsia="Times New Roman"/>
          <w:sz w:val="24"/>
          <w:color w:val="000000"/>
          <w:b w:val="1"/>
        </w:rPr>
        <w:t vyd:_id="vyd:000000000000jf">Validation datasets and comparator</w:t>
      </w:r>
    </w:p>
    <w:p vyd:_id="vyd:000000000000jc">
      <w:r>
        <w:t vyd:_id="vyd:000000000000jd">Cytomove was evaluated against WHST across five image sets comprising 31 paired measurements (Table 2). WHST was selected as the primary quantitative benchmark because its ImageJ/Fiji output vocabulary (wound area, wound area fraction, average width, width standard deviation) overlaps directly with Cytomove's exported endpoints. For each dataset, signed and absolute percentage differences between Cytomove and WHST were computed per frame and summarised at the dataset level.</w:t>
      </w:r>
    </w:p>
    <w:p vyd:_id="vyd:000000000000j7">
      <w:r>
        <w:rPr>
          <w:b w:val="1"/>
        </w:rPr>
        <w:t vyd:_id="vyd:000000000000jb">csma_sample_11.</w:t>
      </w:r>
      <w:r>
        <w:t vyd:_id="vyd:000000000000ja" xml:space="preserve"> An 11-frame brightfield time-course subset drawn from the CSMA WoundHealing public sample dataset (</w:t>
      </w:r>
      <w:r>
        <w:rPr>
          <w:b w:val="1"/>
        </w:rPr>
        <w:t vyd:_id="vyd:000000000000j9">Pham et al., 2025</w:t>
      </w:r>
      <w:r>
        <w:t vyd:_id="vyd:000000000000j8">). The original sequence comprises SW480-ADH human colon cancer cells imaged every hour for 48 hours at ×10 magnification on an Omni Cell Imager (CytoSMART Technologies, The Netherlands); images are JPEG files cropped to approximately 1537 × 1537 pixels. Eleven representative frames were selected to span the full time course at approximately equal intervals. Native CSMA, WHST, and Cytomove outputs were available for the matched frames, enabling a three-method area comparison.</w:t>
      </w:r>
    </w:p>
    <w:p vyd:_id="vyd:000000000000j2">
      <w:r>
        <w:rPr>
          <w:b w:val="1"/>
        </w:rPr>
        <w:t vyd:_id="vyd:000000000000j6">whad_mcf7_11.</w:t>
      </w:r>
      <w:r>
        <w:t vyd:_id="vyd:000000000000j5" xml:space="preserve"> An 11-frame phase-contrast time-course sequence comprising MCF-7 human breast cancer cells from the publicly deposited Wound Healing Assay Dataset (WHAD) and Cell Adhesion and Motility Assay Dataset (CAMAD) (</w:t>
      </w:r>
      <w:r>
        <w:rPr>
          <w:b w:val="1"/>
        </w:rPr>
        <w:t vyd:_id="vyd:000000000000j4">Iheme et al., 2024</w:t>
      </w:r>
      <w:r>
        <w:t vyd:_id="vyd:000000000000j3">), released under Creative Commons Attribution 4.0 International. The sequence was acquired on an Olympus Live Cell-R Station at 30-minute intervals; cells approach near-complete closure by the final frames, making this set the primary test of Cytomove behaviour in challenging late time-course conditions.</w:t>
      </w:r>
    </w:p>
    <w:p vyd:_id="vyd:000000000000ix">
      <w:r>
        <w:rPr>
          <w:b w:val="1"/>
        </w:rPr>
        <w:t vyd:_id="vyd:000000000000j1">Author-acquired smartphone-through-eyepiece sets (HK, M8F, MK).</w:t>
      </w:r>
      <w:r>
        <w:t vyd:_id="vyd:000000000000j0" xml:space="preserve"> Three brightfield time-course sets (three frames each: 0, 24, and 48 hours) acquired by the author using a smartphone camera held to the eyepiece of an inverted microscope at ×10 magnification. The HK set used Human Umbilical Vein Endothelial Cells (HUVEC; ATCC), whereas the M8F and MK sets used MDA-MB-231 human metastatic breast cancer cells. Cells were grown to confluence in DMEM supplemented with 10% FBS and 1% penicillin–streptomycin at 37°C in 5% CO₂, then scratched with a 1 mL pipette tip in a 6-well plate and imaged at 0, 24, and 48 hours. The M8F set was treated with 8 µM FDI-6 (Sigma-Aldrich, cat. no. SML1392-5MG) for the duration of the time course; HK and MK are untreated controls from the same experimental series. This experimental series was originally reported in </w:t>
      </w:r>
      <w:r>
        <w:rPr>
          <w:b w:val="1"/>
        </w:rPr>
        <w:t vyd:_id="vyd:000000000000iz">Düzgün et al. (2024)</w:t>
      </w:r>
      <w:r>
        <w:t vyd:_id="vyd:000000000000iy">. The images were acquired without a motorised stage, which produced variable circular field borders, uneven illumination, and focus variation similar to the acquisition conditions encountered in many laboratories. These sets are included in the validation as external support and stress material, not as primary accuracy evidence.</w:t>
      </w:r>
    </w:p>
    <w:p vyd:_id="vyd:000000000000iv">
      <w:pPr>
        <w:pStyle w:val="Heading1"/>
      </w:pPr>
      <w:r>
        <w:rPr>
          <w:rFonts w:ascii="Times New Roman" w:hAnsi="Times New Roman" w:eastAsia="Times New Roman"/>
          <w:sz w:val="24"/>
          <w:color w:val="000000"/>
          <w:b w:val="1"/>
        </w:rPr>
        <w:t vyd:_id="vyd:000000000000iw">Results</w:t>
      </w:r>
    </w:p>
    <w:p vyd:_id="vyd:000000000000it">
      <w:r>
        <w:t vyd:_id="vyd:000000000000iu">The validation was designed to ask a practical question: whether a browser-local, reviewable implementation can reproduce the wound-area behaviour of an established ImageJ/Fiji comparator while making difficult frames visible to the user. The five sets combine a clean public brightfield comparator sequence, a public phase-contrast time course that approaches closure, and three author-acquired smartphone sets used as external support or stress material. The numerical summary is in Table 3, and each main result is paired with visual overlays or audit panels in Figures 2–6.</w:t>
      </w:r>
    </w:p>
    <w:p vyd:_id="vyd:000000000000ir">
      <w:pPr>
        <w:pStyle w:val="Heading2"/>
      </w:pPr>
      <w:r>
        <w:rPr>
          <w:rFonts w:ascii="Times New Roman" w:hAnsi="Times New Roman" w:eastAsia="Times New Roman"/>
          <w:sz w:val="24"/>
          <w:color w:val="000000"/>
          <w:b w:val="1"/>
        </w:rPr>
        <w:t vyd:_id="vyd:000000000000is">Clean brightfield comparator: csma_sample_11</w:t>
      </w:r>
    </w:p>
    <w:p vyd:_id="vyd:000000000000ip">
      <w:r>
        <w:t vyd:_id="vyd:000000000000iq">The csma_sample_11 subset provided the clearest support for Cytomove accuracy. Wound-area measurements agreed closely with WHST (area MAPE 4.1%, median 3.9%, maximum 7.9%, mean signed error −2.7%, Pearson r = 0.9975); width agreement was acceptable (MAPE 9.7%, r = 0.9969). Wound closure percentage tracked the expected monotonic increase from 0% at frame 1 to approximately 85–90% at frame 11, consistent with the known behaviour of SW480-ADH cells in the CSMA sample series.</w:t>
      </w:r>
    </w:p>
    <w:p vyd:_id="vyd:000000000000in">
      <w:r>
        <w:t vyd:_id="vyd:000000000000io">A three-method comparison was possible because native CSMA, WHST, and Cytomove area outputs were available for the matched frames (Figure 5). All three followed the same decreasing wound-area trajectory across the sequence (CSMA–WHST r = 0.9970; CSMA–Cytomove r = 0.9951). The main difference was not the direction of the trajectory but the residual area retained by native CSMA in later frames, a pattern consistent with CSMA's two-stage wound-edge and cell-detection approach, which can attribute some cell-free space differently from a pure low-variance mask. This difference is presented as method-context evidence rather than a failure case: different tools can preserve the same biological trend while making different boundary choices, and Cytomove's overlay makes those choices inspectable.</w:t>
      </w:r>
    </w:p>
    <w:p vyd:_id="vyd:000000000000il">
      <w:r>
        <w:t vyd:_id="vyd:000000000000im">The visual audit panel in Figure 5D shows raw images alongside CSMA area output, WHST measurement overlay, and Cytomove contour for each frame. In early frames (large open wound), all three methods produce visually concordant boundaries; differences become apparent only at late frames when the wound narrows below approximately 100–150 pixels in width.</w:t>
      </w:r>
    </w:p>
    <w:p vyd:_id="vyd:000000000000ij">
      <w:pPr>
        <w:pStyle w:val="Heading2"/>
      </w:pPr>
      <w:r>
        <w:rPr>
          <w:rFonts w:ascii="Times New Roman" w:hAnsi="Times New Roman" w:eastAsia="Times New Roman"/>
          <w:sz w:val="24"/>
          <w:color w:val="000000"/>
          <w:b w:val="1"/>
        </w:rPr>
        <w:t vyd:_id="vyd:000000000000ik">Phase-contrast time course: whad_mcf7_11</w:t>
      </w:r>
    </w:p>
    <w:p vyd:_id="vyd:000000000000ih">
      <w:r>
        <w:t vyd:_id="vyd:000000000000ii">The whad_mcf7_11 set tested Cytomove on a wound that progresses to near-complete closure (Figure 6). Cytomove followed the WHST area and width trends closely (r = 0.9984 and r = 0.9986) with a modest median absolute area error of 6.6% and a small positive mean signed error (+2.2%). The dataset-level area MAPE of 15.0% was concentrated in the latest near-closed frames: in the final frame the residual wound measured approximately 1,400 pixels by WHST versus approximately 2,550 pixels by Cytomove, an absolute difference of roughly 1,150 pixels that registers as an ~82% relative error due to the very small denominator.</w:t>
      </w:r>
    </w:p>
    <w:p vyd:_id="vyd:000000000000ib">
      <w:r>
        <w:t vyd:_id="vyd:000000000000ig">Cytomove flags such frames with quality-control labels (</w:t>
      </w:r>
      <w:r>
        <w:rPr>
          <w:rFonts w:ascii="Consolas" w:hAnsi="Consolas"/>
          <w:sz w:val="19"/>
        </w:rPr>
        <w:t vyd:_id="vyd:000000000000if">review_needed</w:t>
      </w:r>
      <w:r>
        <w:t vyd:_id="vyd:000000000000ie" xml:space="preserve">, </w:t>
      </w:r>
      <w:r>
        <w:rPr>
          <w:rFonts w:ascii="Consolas" w:hAnsi="Consolas"/>
          <w:sz w:val="19"/>
        </w:rPr>
        <w:t vyd:_id="vyd:000000000000id">area_ok_width_review</w:t>
      </w:r>
      <w:r>
        <w:t vyd:_id="vyd:000000000000ic">) and exposes the overlay, valid-row information, and width variability coefficient in the export so that the user can decide whether the measurement is acceptable before reporting it. The median error of 6.6% gives a more representative summary of the 11-frame sequence than the mean, and the maximum identifies the single frame requiring closest attention. Wound closure percentage computed by Cytomove for this sequence agreed with the WHST-derived trajectory in the biologically informative early and mid time-course phases; divergence appeared only in the final 1–2 frames where both tools measure a very small residual wound.</w:t>
      </w:r>
    </w:p>
    <w:p vyd:_id="vyd:000000000000i9">
      <w:pPr>
        <w:pStyle w:val="Heading2"/>
      </w:pPr>
      <w:r>
        <w:rPr>
          <w:rFonts w:ascii="Times New Roman" w:hAnsi="Times New Roman" w:eastAsia="Times New Roman"/>
          <w:sz w:val="24"/>
          <w:color w:val="000000"/>
          <w:b w:val="1"/>
        </w:rPr>
        <w:t vyd:_id="vyd:000000000000ia">Smartphone-through-eyepiece stress sets: HK, M8F, MK</w:t>
      </w:r>
    </w:p>
    <w:p vyd:_id="vyd:000000000000i7">
      <w:r>
        <w:t vyd:_id="vyd:000000000000i8">Three smartphone-through-eyepiece brightfield sets reproduce conditions common in real laboratories but absent from curated public datasets: circular fields, uneven illumination, focus variation, and fragmented late wounds. Results are summarised in Table 3 and Figure 4.</w:t>
      </w:r>
    </w:p>
    <w:p vyd:_id="vyd:000000000000i3">
      <w:r>
        <w:t vyd:_id="vyd:000000000000i6">The HK (HUVEC control) set behaved as a supportive external example (area MAPE 6.7%, r = 0.9903). The M8F set (MDA-MB-231 treated with 8 µM FDI-6) showed a late-frame underestimation pattern (area MAPE 10.6%, mean signed error −10.6%), consistent with the fragmented wound appearance at 48 h when FDI-6 partially suppresses MDA-MB-231 cell migration (</w:t>
      </w:r>
      <w:r>
        <w:rPr>
          <w:b w:val="1"/>
        </w:rPr>
        <w:t vyd:_id="vyd:000000000000i5">Düzgün et al., 2024</w:t>
      </w:r>
      <w:r>
        <w:t vyd:_id="vyd:000000000000i4">). The MK (MDA-MB-231 control) set behaved as a genuine limitation case: Cytomove over-measured fragmented near-closed regions (area MAPE 38.8%, width MAPE 31.0%), with every difficult frame flagged for review by the quality-control system. Wound closure percentage estimates for HK and MK reached approximately 70–80% at 48 h; M8F reached approximately 55–65%, consistent with the treatment effect reported in the original study.</w:t>
      </w:r>
    </w:p>
    <w:p vyd:_id="vyd:000000000000i1">
      <w:r>
        <w:t vyd:_id="vyd:000000000000i2">These sets are reported as quality-control and stress examples. Their value lies in showing that Cytomove can identify frames requiring user inspection, preserve the overlay evidence for that decision, and record the correction or acceptance in the export metadata, not in claiming solved accuracy under all acquisition conditions.</w:t>
      </w:r>
    </w:p>
    <w:p vyd:_id="vyd:000000000000hz">
      <w:pPr>
        <w:pStyle w:val="Heading2"/>
      </w:pPr>
      <w:r>
        <w:rPr>
          <w:rFonts w:ascii="Times New Roman" w:hAnsi="Times New Roman" w:eastAsia="Times New Roman"/>
          <w:sz w:val="24"/>
          <w:color w:val="000000"/>
          <w:b w:val="1"/>
        </w:rPr>
        <w:t vyd:_id="vyd:000000000000i0">Pooled agreement and Bland–Altman analysis</w:t>
      </w:r>
    </w:p>
    <w:p vyd:_id="vyd:000000000000hx">
      <w:r>
        <w:t vyd:_id="vyd:000000000000hy">A pooled Bland–Altman comparison on the absolute area scale (Figure 3B) showed a median Cytomove-minus-WHST difference of essentially zero (−0.002 Mpx), with 2.5–97.5th percentile limits of agreement of −0.134 to +0.169 Mpx. The paired area plot (Figure 3A) shows that most measurements fall close to the identity line across the clean and phase-contrast sequences; the phone-capture limitation set (MK) contributes the more visibly dispersed points. Area was the more stable and comparable metric across all sets; width tracked area trends but was more sensitive in fragmented and near-closed frames (Figure 4; Supplementary Figure S1).</w:t>
      </w:r>
    </w:p>
    <w:p vyd:_id="vyd:000000000000hv">
      <w:pPr>
        <w:pStyle w:val="Heading1"/>
      </w:pPr>
      <w:r>
        <w:rPr>
          <w:rFonts w:ascii="Times New Roman" w:hAnsi="Times New Roman" w:eastAsia="Times New Roman"/>
          <w:sz w:val="24"/>
          <w:color w:val="000000"/>
          <w:b w:val="1"/>
        </w:rPr>
        <w:t vyd:_id="vyd:000000000000hw">Discussion</w:t>
      </w:r>
    </w:p>
    <w:p vyd:_id="vyd:000000000000ht">
      <w:pPr>
        <w:pStyle w:val="Heading2"/>
      </w:pPr>
      <w:r>
        <w:rPr>
          <w:rFonts w:ascii="Times New Roman" w:hAnsi="Times New Roman" w:eastAsia="Times New Roman"/>
          <w:sz w:val="24"/>
          <w:color w:val="000000"/>
          <w:b w:val="1"/>
        </w:rPr>
        <w:t vyd:_id="vyd:000000000000hu">Main finding</w:t>
      </w:r>
    </w:p>
    <w:p vyd:_id="vyd:000000000000hr">
      <w:r>
        <w:t vyd:_id="vyd:000000000000hs">The main finding is that Cytomove can reproduce WHST-like wound-area behaviour in image sets that are visually suitable for variance-and-threshold segmentation, while preserving enough visual and metadata context to identify frames that should not be interpreted automatically. The clean brightfield CSMA sequence provides the strongest agreement evidence. The WHAD-MCF7 phase-contrast sequence supports the same direction but also demonstrates why near-closure frames need careful reporting: small residual wounds turn modest absolute differences into large percentage errors. The smartphone sets broaden the evaluation by showing how Cytomove's quality-control workflow responds to real-world acquisition challenges.</w:t>
      </w:r>
    </w:p>
    <w:p vyd:_id="vyd:000000000000hp">
      <w:pPr>
        <w:pStyle w:val="Heading2"/>
      </w:pPr>
      <w:r>
        <w:rPr>
          <w:rFonts w:ascii="Times New Roman" w:hAnsi="Times New Roman" w:eastAsia="Times New Roman"/>
          <w:sz w:val="24"/>
          <w:color w:val="000000"/>
          <w:b w:val="1"/>
        </w:rPr>
        <w:t vyd:_id="vyd:000000000000hq">Workflow and reproducibility contribution</w:t>
      </w:r>
    </w:p>
    <w:p vyd:_id="vyd:000000000000hn">
      <w:r>
        <w:t vyd:_id="vyd:000000000000ho">Cytomove is a workflow and reproducibility contribution rather than a new biological metric. The established scratch-assay literature already defines the major measurement concepts (wound area, normalised area, width, closure percentage, time-course plots, output images, and spreadsheet export) across TScratch, WHST, PyScratch, and CSMA. Cytomove brings these into a browser-local, reviewable workflow that reduces installation friction while preserving inspectability and recording the provenance of each measurement.</w:t>
      </w:r>
    </w:p>
    <w:p vyd:_id="vyd:000000000000hl">
      <w:r>
        <w:t vyd:_id="vyd:000000000000hm">Specifically, every Cytomove export includes the image identifier, crop coordinates, scratch orientation, fine rotation angle, variance radius, threshold offset, minimum component size, island-handling level, field-of-view cutoff, microscope mode, manual-correction status, algorithm version string, and quality-control labels. To reproduce a measurement, a researcher needs all of these, and Cytomove records them automatically in a machine-readable CSV or Excel file. This directly addresses the common loss of analysis settings in macro- and plugin-based workflows.</w:t>
      </w:r>
    </w:p>
    <w:p vyd:_id="vyd:000000000000hj">
      <w:pPr>
        <w:pStyle w:val="Heading2"/>
      </w:pPr>
      <w:r>
        <w:rPr>
          <w:rFonts w:ascii="Times New Roman" w:hAnsi="Times New Roman" w:eastAsia="Times New Roman"/>
          <w:sz w:val="24"/>
          <w:color w:val="000000"/>
          <w:b w:val="1"/>
        </w:rPr>
        <w:t vyd:_id="vyd:000000000000hk">Positioning relative to existing tools</w:t>
      </w:r>
    </w:p>
    <w:p vyd:_id="vyd:000000000000hh">
      <w:r>
        <w:t vyd:_id="vyd:000000000000hi">Cytomove shares the core design lesson of TScratch, that automated segmentation should remain visually inspectable and manually editable, while implementing it in a browser-local architecture. It shares WHST's measurement vocabulary (area, area fraction, average width, width standard deviation) and extends it with a richer export schema. It shares PyScratch's emphasis on usability for non-programmer researchers, but instead of a Python GUI application it requires only a modern browser and no installation step. It addresses the same wound-internal cell concern that motivated CSMA, though through a user-inspectable overlay and manual-correction tools rather than a two-stage automated cell-detection pipeline.</w:t>
      </w:r>
    </w:p>
    <w:p vyd:_id="vyd:000000000000hf">
      <w:r>
        <w:t vyd:_id="vyd:000000000000hg">The absence of a server-side backend is a deliberate design decision. Browser-local analysis eliminates the privacy concern associated with uploading unpublished microscopy to a remote service and removes the operational cost and availability risk of a server. The JavaScript implementation imposes a computational limit relative to native Python or Java backends, but for the image sizes and parameter ranges used in typical scratch assays, the typed-array pipeline runs well within the five-second-per-image target on consumer hardware.</w:t>
      </w:r>
    </w:p>
    <w:p vyd:_id="vyd:000000000000hd">
      <w:pPr>
        <w:pStyle w:val="Heading2"/>
      </w:pPr>
      <w:r>
        <w:rPr>
          <w:rFonts w:ascii="Times New Roman" w:hAnsi="Times New Roman" w:eastAsia="Times New Roman"/>
          <w:sz w:val="24"/>
          <w:color w:val="000000"/>
          <w:b w:val="1"/>
        </w:rPr>
        <w:t vyd:_id="vyd:000000000000he">Near-closure frames and metric choice</w:t>
      </w:r>
    </w:p>
    <w:p vyd:_id="vyd:000000000000hb">
      <w:r>
        <w:t vyd:_id="vyd:000000000000hc">The treatment of near-closure frames deserves particular caution. In a wound-healing time course, the final biological state may be the most interesting, but it is also where relative error becomes least stable. A difference of roughly a thousand pixels can be small in the context of early open wounds yet large as a fraction of a nearly closed residual gap. This is why reporting MAPE, median error, maximum error, and Pearson r together is essential: correlation captures trend agreement, MAPE captures average relative discrepancy, median error reduces the influence of the near-closure tail, and the maximum identifies the frame a user should inspect. Area is treated as the primary endpoint because it was more stable across the current validation sets; width serves as a secondary quality-control endpoint that is more sensitive to fragmentation and partial closure.</w:t>
      </w:r>
    </w:p>
    <w:p vyd:_id="vyd:000000000000h9">
      <w:pPr>
        <w:pStyle w:val="Heading2"/>
      </w:pPr>
      <w:r>
        <w:rPr>
          <w:rFonts w:ascii="Times New Roman" w:hAnsi="Times New Roman" w:eastAsia="Times New Roman"/>
          <w:sz w:val="24"/>
          <w:color w:val="000000"/>
          <w:b w:val="1"/>
        </w:rPr>
        <w:t vyd:_id="vyd:000000000000ha">Limitations and planned work</w:t>
      </w:r>
    </w:p>
    <w:p vyd:_id="vyd:000000000000h1">
      <w:r>
        <w:t vyd:_id="vyd:000000000000h8">The present validation should be interpreted as preliminary. The strongest evidence comes from the csma_sample_11 and whad_mcf7_11 sequences; the smartphone sets are included to expose review and quality-control behaviour rather than to claim solved accuracy. The study does not yet include multi-rater manual consensus masks, Dice coefficient or intersection-over-union evaluation (</w:t>
      </w:r>
      <w:r>
        <w:rPr>
          <w:b w:val="1"/>
        </w:rPr>
        <w:t vyd:_id="vyd:000000000000h7">Taha and Hanbury, 2015</w:t>
      </w:r>
      <w:r>
        <w:t vyd:_id="vyd:000000000000h6" xml:space="preserve">; </w:t>
      </w:r>
      <w:r>
        <w:rPr>
          <w:b w:val="1"/>
        </w:rPr>
        <w:t vyd:_id="vyd:000000000000h5">Maier-Hein et al., 2024</w:t>
      </w:r>
      <w:r>
        <w:t vyd:_id="vyd:000000000000h4">), spatial calibration for physical-unit closure rates, runtime benchmarking across browsers and operating systems, wound-internal cell detection (</w:t>
      </w:r>
      <w:r>
        <w:rPr>
          <w:b w:val="1"/>
        </w:rPr>
        <w:t vyd:_id="vyd:000000000000h3">Pham et al., 2025</w:t>
      </w:r>
      <w:r>
        <w:t vyd:_id="vyd:000000000000h2">), or a systematic cross-browser reproducibility test.</w:t>
      </w:r>
    </w:p>
    <w:p vyd:_id="vyd:000000000000gt">
      <w:r>
        <w:t vyd:_id="vyd:000000000000h0">Recent bioimage-analysis literature shows how rapidly segmentation methods are advancing. Generalist and foundation-model approaches such as Cellpose3, Segment Anything for Microscopy, and MedSAM have demonstrated impressive segmentation generalisation (</w:t>
      </w:r>
      <w:r>
        <w:rPr>
          <w:b w:val="1"/>
        </w:rPr>
        <w:t vyd:_id="vyd:000000000000gz">Stringer and Pachitariu, 2025</w:t>
      </w:r>
      <w:r>
        <w:t vyd:_id="vyd:000000000000gy" xml:space="preserve">; </w:t>
      </w:r>
      <w:r>
        <w:rPr>
          <w:b w:val="1"/>
        </w:rPr>
        <w:t vyd:_id="vyd:000000000000gx">Archit et al., 2025</w:t>
      </w:r>
      <w:r>
        <w:t vyd:_id="vyd:000000000000gw" xml:space="preserve">; </w:t>
      </w:r>
      <w:r>
        <w:rPr>
          <w:b w:val="1"/>
        </w:rPr>
        <w:t vyd:_id="vyd:000000000000gv">Ma et al., 2024</w:t>
      </w:r>
      <w:r>
        <w:t vyd:_id="vyd:000000000000gu">). An explainable local pipeline with visible overlays can remain useful alongside these methods because the workflow problem is not only segmentation accuracy but also review, provenance, export, and reproducible reporting. Any future learned-segmentation backend in Cytomove should be optional, reviewable, and evaluated against the same metadata and visual-audit standards used here.</w:t>
      </w:r>
    </w:p>
    <w:p vyd:_id="vyd:000000000000gp">
      <w:r>
        <w:t vyd:_id="vyd:000000000000gs">Planned work includes: multi-rater consensus mask validation with spatial-overlap metrics; spatial and temporal calibration for physical-unit area and migration rate; wound-internal cell handling; runtime and cross-browser reproducibility testing; and export packages aligned with FAIR data principles (</w:t>
      </w:r>
      <w:r>
        <w:rPr>
          <w:b w:val="1"/>
        </w:rPr>
        <w:t vyd:_id="vyd:000000000000gr">Wilkinson et al., 2016</w:t>
      </w:r>
      <w:r>
        <w:t vyd:_id="vyd:000000000000gq">).</w:t>
      </w:r>
    </w:p>
    <w:p vyd:_id="vyd:000000000000gn">
      <w:pPr>
        <w:pStyle w:val="Heading1"/>
      </w:pPr>
      <w:r>
        <w:rPr>
          <w:rFonts w:ascii="Times New Roman" w:hAnsi="Times New Roman" w:eastAsia="Times New Roman"/>
          <w:sz w:val="24"/>
          <w:color w:val="000000"/>
          <w:b w:val="1"/>
        </w:rPr>
        <w:t vyd:_id="vyd:000000000000go">Conclusion</w:t>
      </w:r>
    </w:p>
    <w:p vyd:_id="vyd:000000000000gl">
      <w:r>
        <w:t vyd:_id="vyd:000000000000gm">Cytomove provides a browser-local and reviewable workflow for scratch wound healing assay quantification. It implements an explainable variance-and-threshold pipeline in dependency-free JavaScript, supports single-image and grouped time-course analysis, and exports a complete audit trail linking every measurement to the segmentation image, parameters, and quality-control state that produced it. The current evidence supports Cytomove as an accessible, publication-oriented analysis tool that can produce WHST-comparable wound-area outputs in suitable brightfield and phase-contrast images, while preserving the overlay and quality-control context needed to interpret near-closure and real-world acquisition challenges.</w:t>
      </w:r>
    </w:p>
    <w:p vyd:_id="vyd:000000000000gj">
      <w:pPr>
        <w:pStyle w:val="Heading1"/>
      </w:pPr>
      <w:r>
        <w:rPr>
          <w:rFonts w:ascii="Times New Roman" w:hAnsi="Times New Roman" w:eastAsia="Times New Roman"/>
          <w:sz w:val="24"/>
          <w:color w:val="000000"/>
          <w:b w:val="1"/>
        </w:rPr>
        <w:t vyd:_id="vyd:000000000000gk">Ethics statement</w:t>
      </w:r>
    </w:p>
    <w:p vyd:_id="vyd:000000000000gb">
      <w:r>
        <w:t vyd:_id="vyd:000000000000gi">This study did not involve human participants, identifiable human data, or animal experiments, and therefore required no ethical approval. The MCF-7 phase-contrast frames were obtained from the publicly available WHAD/CAMAD dataset released under the Creative Commons Attribution 4.0 International licence (</w:t>
      </w:r>
      <w:r>
        <w:rPr>
          <w:b w:val="1"/>
        </w:rPr>
        <w:t vyd:_id="vyd:000000000000gh">Iheme et al., 2024</w:t>
      </w:r>
      <w:r>
        <w:t vyd:_id="vyd:000000000000gg" xml:space="preserve">). The CSMA brightfield sample frames and output context were obtained from the public CSMA WoundHealing repository associated with </w:t>
      </w:r>
      <w:r>
        <w:rPr>
          <w:b w:val="1"/>
        </w:rPr>
        <w:t vyd:_id="vyd:000000000000gf">Pham et al. (2025)</w:t>
      </w:r>
      <w:r>
        <w:t vyd:_id="vyd:000000000000ge" xml:space="preserve">. The smartphone-through-eyepiece brightfield images were acquired from established cell-line cultures as part of the study described in </w:t>
      </w:r>
      <w:r>
        <w:rPr>
          <w:b w:val="1"/>
        </w:rPr>
        <w:t vyd:_id="vyd:000000000000gd">Düzgün et al. (2024)</w:t>
      </w:r>
      <w:r>
        <w:t vyd:_id="vyd:000000000000gc">.</w:t>
      </w:r>
    </w:p>
    <w:p vyd:_id="vyd:000000000000g9">
      <w:pPr>
        <w:pStyle w:val="Heading1"/>
      </w:pPr>
      <w:r>
        <w:rPr>
          <w:rFonts w:ascii="Times New Roman" w:hAnsi="Times New Roman" w:eastAsia="Times New Roman"/>
          <w:sz w:val="24"/>
          <w:color w:val="000000"/>
          <w:b w:val="1"/>
        </w:rPr>
        <w:t vyd:_id="vyd:000000000000ga">Funding</w:t>
      </w:r>
    </w:p>
    <w:p vyd:_id="vyd:000000000000g7">
      <w:r>
        <w:t vyd:_id="vyd:000000000000g8">This research received no specific grant from any funding agency in the public, commercial, or not-for-profit sectors.</w:t>
      </w:r>
    </w:p>
    <w:p vyd:_id="vyd:000000000000g5">
      <w:pPr>
        <w:pStyle w:val="Heading1"/>
      </w:pPr>
      <w:r>
        <w:rPr>
          <w:rFonts w:ascii="Times New Roman" w:hAnsi="Times New Roman" w:eastAsia="Times New Roman"/>
          <w:sz w:val="24"/>
          <w:color w:val="000000"/>
          <w:b w:val="1"/>
        </w:rPr>
        <w:t vyd:_id="vyd:000000000000g6">Declaration of competing interest</w:t>
      </w:r>
    </w:p>
    <w:p vyd:_id="vyd:000000000000g3">
      <w:r>
        <w:t vyd:_id="vyd:000000000000g4">The author is the developer of Cytomove and intends to offer a commercially licensed version of the software. No other competing interests are declared.</w:t>
      </w:r>
    </w:p>
    <w:p vyd:_id="vyd:000000000000g1">
      <w:pPr>
        <w:pStyle w:val="Heading1"/>
      </w:pPr>
      <w:r>
        <w:rPr>
          <w:rFonts w:ascii="Times New Roman" w:hAnsi="Times New Roman" w:eastAsia="Times New Roman"/>
          <w:sz w:val="24"/>
          <w:color w:val="000000"/>
          <w:b w:val="1"/>
        </w:rPr>
        <w:t vyd:_id="vyd:000000000000g2">CRediT author statement</w:t>
      </w:r>
    </w:p>
    <w:p vyd:_id="vyd:000000000000fy">
      <w:r>
        <w:rPr>
          <w:b w:val="1"/>
        </w:rPr>
        <w:t vyd:_id="vyd:000000000000g0">Zekeriya Düzgün:</w:t>
      </w:r>
      <w:r>
        <w:t vyd:_id="vyd:000000000000fz" xml:space="preserve"> Conceptualization, Methodology, Software, Validation, Formal analysis, Data curation, Visualization, Writing – original draft, Writing – review &amp; editing.</w:t>
      </w:r>
    </w:p>
    <w:p vyd:_id="vyd:000000000000fw">
      <w:pPr>
        <w:pStyle w:val="Heading1"/>
      </w:pPr>
      <w:r>
        <w:rPr>
          <w:rFonts w:ascii="Times New Roman" w:hAnsi="Times New Roman" w:eastAsia="Times New Roman"/>
          <w:sz w:val="24"/>
          <w:color w:val="000000"/>
          <w:b w:val="1"/>
        </w:rPr>
        <w:t vyd:_id="vyd:000000000000fx">Data and software availability</w:t>
      </w:r>
    </w:p>
    <w:p vyd:_id="vyd:000000000000fo">
      <w:r>
        <w:t vyd:_id="vyd:000000000000fv">A live web version is available at https://cytomove.com, and the public project repository is https://github.com/zduzgun/CytoMove. The core analysis source code is intended to be publicly available under a source-available non-commercial licence, following the PolyForm Noncommercial License 1.0.0 model; commercial use is not permitted under the public licence and requires a separate written commercial licence from the author or rights holder. The preliminary validation summary (paired WHST–Cytomove measurements, dataset-level diagnostic statistics, the discrepancy-resolution table, and representative overlay images) is archived on Zenodo under the reserved DOI https://doi.org/10.5281/zenodo.20486820. External image provenance: WHAD-MCF7 frames from the WHAD/CAMAD Zenodo dataset under CC BY 4.0 (</w:t>
      </w:r>
      <w:r>
        <w:rPr>
          <w:b w:val="1"/>
        </w:rPr>
        <w:t vyd:_id="vyd:000000000000fu">Iheme et al., 2024</w:t>
      </w:r>
      <w:r>
        <w:t vyd:_id="vyd:000000000000ft">); CSMA sample images and output context from the public CSMA WoundHealing repository (</w:t>
      </w:r>
      <w:r>
        <w:rPr>
          <w:b w:val="1"/>
        </w:rPr>
        <w:t vyd:_id="vyd:000000000000fs">Pham et al., 2025</w:t>
      </w:r>
      <w:r>
        <w:t vyd:_id="vyd:000000000000fr" xml:space="preserve">); smartphone-through-eyepiece images acquired by the author as part of the experimental series reported in </w:t>
      </w:r>
      <w:r>
        <w:rPr>
          <w:b w:val="1"/>
        </w:rPr>
        <w:t vyd:_id="vyd:000000000000fq">Düzgün et al. (2024)</w:t>
      </w:r>
      <w:r>
        <w:t vyd:_id="vyd:000000000000fp">.</w:t>
      </w:r>
    </w:p>
    <w:p vyd:_id="vyd:000000000000fm">
      <w:pPr>
        <w:pStyle w:val="Heading1"/>
      </w:pPr>
      <w:r>
        <w:rPr>
          <w:rFonts w:ascii="Times New Roman" w:hAnsi="Times New Roman" w:eastAsia="Times New Roman"/>
          <w:sz w:val="24"/>
          <w:color w:val="000000"/>
          <w:b w:val="1"/>
        </w:rPr>
        <w:t vyd:_id="vyd:000000000000fn">Software and code metadata</w:t>
      </w:r>
    </w:p>
    <w:p vyd:_id="vyd:000000000000fk">
      <w:r>
        <w:rPr>
          <w:b w:val="1"/>
        </w:rPr>
        <w:t vyd:_id="vyd:000000000000fl">Table 4. Code metadata.</w:t>
      </w:r>
    </w:p>
    <w:tbl vyd:_id="vyd:000000000000cr">
      <w:tblPr>
        <w:tblStyle w:val="TableGrid"/>
        <w:tblW w:w="9360" w:type="dxa"/>
        <w:jc w:val="center"/>
        <w:tblLook w:firstRow="1" w:lastRow="0" w:firstColumn="1" w:lastColumn="0" w:noHBand="0" w:noVBand="1" w:val="07c5"/>
      </w:tblPr>
      <w:tblGrid>
        <w:gridCol w:w="3120"/>
        <w:gridCol w:w="3120"/>
        <w:gridCol w:w="3120"/>
      </w:tblGrid>
      <w:tr vyd:_id="vyd:000000000000fa">
        <w:tc vyd:_id="vyd:000000000000fh">
          <w:tcPr>
            <w:shd w:val="clear" w:fill="F2F4F7"/>
            <w:tcMar>
              <w:top w:w="80" w:type="dxa"/>
              <w:start w:w="120" w:type="dxa"/>
              <w:bottom w:w="80" w:type="dxa"/>
              <w:end w:w="120" w:type="dxa"/>
            </w:tcMar>
            <w:vAlign w:val="center"/>
          </w:tcPr>
          <w:p vyd:_id="vyd:000000000000fi">
            <w:pPr>
              <w:spacing w:after="0"/>
              <w:jc w:val="start"/>
            </w:pPr>
            <w:r>
              <w:rPr>
                <w:b w:val="1"/>
              </w:rPr>
              <w:t vyd:_id="vyd:000000000000fj">Nr.</w:t>
            </w:r>
          </w:p>
        </w:tc>
        <w:tc vyd:_id="vyd:000000000000fe">
          <w:tcPr>
            <w:shd w:val="clear" w:fill="F2F4F7"/>
            <w:tcMar>
              <w:top w:w="80" w:type="dxa"/>
              <w:start w:w="120" w:type="dxa"/>
              <w:bottom w:w="80" w:type="dxa"/>
              <w:end w:w="120" w:type="dxa"/>
            </w:tcMar>
            <w:vAlign w:val="center"/>
          </w:tcPr>
          <w:p vyd:_id="vyd:000000000000ff">
            <w:pPr>
              <w:spacing w:after="0"/>
              <w:jc w:val="start"/>
            </w:pPr>
            <w:r>
              <w:rPr>
                <w:b w:val="1"/>
              </w:rPr>
              <w:t vyd:_id="vyd:000000000000fg">Code metadata description</w:t>
            </w:r>
          </w:p>
        </w:tc>
        <w:tc vyd:_id="vyd:000000000000fb">
          <w:tcPr>
            <w:shd w:val="clear" w:fill="F2F4F7"/>
            <w:tcMar>
              <w:top w:w="80" w:type="dxa"/>
              <w:start w:w="120" w:type="dxa"/>
              <w:bottom w:w="80" w:type="dxa"/>
              <w:end w:w="120" w:type="dxa"/>
            </w:tcMar>
            <w:vAlign w:val="center"/>
          </w:tcPr>
          <w:p vyd:_id="vyd:000000000000fc">
            <w:pPr>
              <w:spacing w:after="0"/>
              <w:jc w:val="start"/>
            </w:pPr>
            <w:r>
              <w:rPr>
                <w:b w:val="1"/>
              </w:rPr>
              <w:t vyd:_id="vyd:000000000000fd">Value</w:t>
            </w:r>
          </w:p>
        </w:tc>
      </w:tr>
      <w:tr vyd:_id="vyd:000000000000f0">
        <w:tc vyd:_id="vyd:000000000000f7">
          <w:tcPr>
            <w:tcMar>
              <w:top w:w="80" w:type="dxa"/>
              <w:start w:w="120" w:type="dxa"/>
              <w:bottom w:w="80" w:type="dxa"/>
              <w:end w:w="120" w:type="dxa"/>
            </w:tcMar>
            <w:vAlign w:val="center"/>
          </w:tcPr>
          <w:p vyd:_id="vyd:000000000000f8">
            <w:pPr>
              <w:spacing w:after="0"/>
              <w:jc w:val="start"/>
            </w:pPr>
            <w:r>
              <w:t vyd:_id="vyd:000000000000f9">C1</w:t>
            </w:r>
          </w:p>
        </w:tc>
        <w:tc vyd:_id="vyd:000000000000f4">
          <w:tcPr>
            <w:tcMar>
              <w:top w:w="80" w:type="dxa"/>
              <w:start w:w="120" w:type="dxa"/>
              <w:bottom w:w="80" w:type="dxa"/>
              <w:end w:w="120" w:type="dxa"/>
            </w:tcMar>
            <w:vAlign w:val="center"/>
          </w:tcPr>
          <w:p vyd:_id="vyd:000000000000f5">
            <w:pPr>
              <w:spacing w:after="0"/>
              <w:jc w:val="start"/>
            </w:pPr>
            <w:r>
              <w:t vyd:_id="vyd:000000000000f6">Current code version</w:t>
            </w:r>
          </w:p>
        </w:tc>
        <w:tc vyd:_id="vyd:000000000000f1">
          <w:tcPr>
            <w:tcMar>
              <w:top w:w="80" w:type="dxa"/>
              <w:start w:w="120" w:type="dxa"/>
              <w:bottom w:w="80" w:type="dxa"/>
              <w:end w:w="120" w:type="dxa"/>
            </w:tcMar>
            <w:vAlign w:val="center"/>
          </w:tcPr>
          <w:p vyd:_id="vyd:000000000000f2">
            <w:pPr>
              <w:spacing w:after="0"/>
              <w:jc w:val="start"/>
            </w:pPr>
            <w:r>
              <w:t vyd:_id="vyd:000000000000f3">v1.0.0</w:t>
            </w:r>
          </w:p>
        </w:tc>
      </w:tr>
      <w:tr vyd:_id="vyd:000000000000eq">
        <w:tc vyd:_id="vyd:000000000000ex">
          <w:tcPr>
            <w:tcMar>
              <w:top w:w="80" w:type="dxa"/>
              <w:start w:w="120" w:type="dxa"/>
              <w:bottom w:w="80" w:type="dxa"/>
              <w:end w:w="120" w:type="dxa"/>
            </w:tcMar>
            <w:vAlign w:val="center"/>
          </w:tcPr>
          <w:p vyd:_id="vyd:000000000000ey">
            <w:pPr>
              <w:spacing w:after="0"/>
              <w:jc w:val="start"/>
            </w:pPr>
            <w:r>
              <w:t vyd:_id="vyd:000000000000ez">C2</w:t>
            </w:r>
          </w:p>
        </w:tc>
        <w:tc vyd:_id="vyd:000000000000eu">
          <w:tcPr>
            <w:tcMar>
              <w:top w:w="80" w:type="dxa"/>
              <w:start w:w="120" w:type="dxa"/>
              <w:bottom w:w="80" w:type="dxa"/>
              <w:end w:w="120" w:type="dxa"/>
            </w:tcMar>
            <w:vAlign w:val="center"/>
          </w:tcPr>
          <w:p vyd:_id="vyd:000000000000ev">
            <w:pPr>
              <w:spacing w:after="0"/>
              <w:jc w:val="start"/>
            </w:pPr>
            <w:r>
              <w:t vyd:_id="vyd:000000000000ew">Permanent link to code/repository</w:t>
            </w:r>
          </w:p>
        </w:tc>
        <w:tc vyd:_id="vyd:000000000000er">
          <w:tcPr>
            <w:tcMar>
              <w:top w:w="80" w:type="dxa"/>
              <w:start w:w="120" w:type="dxa"/>
              <w:bottom w:w="80" w:type="dxa"/>
              <w:end w:w="120" w:type="dxa"/>
            </w:tcMar>
            <w:vAlign w:val="center"/>
          </w:tcPr>
          <w:p vyd:_id="vyd:000000000000es">
            <w:pPr>
              <w:spacing w:after="0"/>
              <w:jc w:val="start"/>
            </w:pPr>
            <w:r>
              <w:t vyd:_id="vyd:000000000000et">https://github.com/zduzgun/CytoMove (public project repository)</w:t>
            </w:r>
          </w:p>
        </w:tc>
      </w:tr>
      <w:tr vyd:_id="vyd:000000000000eg">
        <w:tc vyd:_id="vyd:000000000000en">
          <w:tcPr>
            <w:tcMar>
              <w:top w:w="80" w:type="dxa"/>
              <w:start w:w="120" w:type="dxa"/>
              <w:bottom w:w="80" w:type="dxa"/>
              <w:end w:w="120" w:type="dxa"/>
            </w:tcMar>
            <w:vAlign w:val="center"/>
          </w:tcPr>
          <w:p vyd:_id="vyd:000000000000eo">
            <w:pPr>
              <w:spacing w:after="0"/>
              <w:jc w:val="start"/>
            </w:pPr>
            <w:r>
              <w:t vyd:_id="vyd:000000000000ep">C3</w:t>
            </w:r>
          </w:p>
        </w:tc>
        <w:tc vyd:_id="vyd:000000000000ek">
          <w:tcPr>
            <w:tcMar>
              <w:top w:w="80" w:type="dxa"/>
              <w:start w:w="120" w:type="dxa"/>
              <w:bottom w:w="80" w:type="dxa"/>
              <w:end w:w="120" w:type="dxa"/>
            </w:tcMar>
            <w:vAlign w:val="center"/>
          </w:tcPr>
          <w:p vyd:_id="vyd:000000000000el">
            <w:pPr>
              <w:spacing w:after="0"/>
              <w:jc w:val="start"/>
            </w:pPr>
            <w:r>
              <w:t vyd:_id="vyd:000000000000em">Permanent link to Reproducible Capsule</w:t>
            </w:r>
          </w:p>
        </w:tc>
        <w:tc vyd:_id="vyd:000000000000eh">
          <w:tcPr>
            <w:tcMar>
              <w:top w:w="80" w:type="dxa"/>
              <w:start w:w="120" w:type="dxa"/>
              <w:bottom w:w="80" w:type="dxa"/>
              <w:end w:w="120" w:type="dxa"/>
            </w:tcMar>
            <w:vAlign w:val="center"/>
          </w:tcPr>
          <w:p vyd:_id="vyd:000000000000ei">
            <w:pPr>
              <w:spacing w:after="0"/>
              <w:jc w:val="start"/>
            </w:pPr>
            <w:r>
              <w:t vyd:_id="vyd:000000000000ej">Not applicable</w:t>
            </w:r>
          </w:p>
        </w:tc>
      </w:tr>
      <w:tr vyd:_id="vyd:000000000000e6">
        <w:tc vyd:_id="vyd:000000000000ed">
          <w:tcPr>
            <w:tcMar>
              <w:top w:w="80" w:type="dxa"/>
              <w:start w:w="120" w:type="dxa"/>
              <w:bottom w:w="80" w:type="dxa"/>
              <w:end w:w="120" w:type="dxa"/>
            </w:tcMar>
            <w:vAlign w:val="center"/>
          </w:tcPr>
          <w:p vyd:_id="vyd:000000000000ee">
            <w:pPr>
              <w:spacing w:after="0"/>
              <w:jc w:val="start"/>
            </w:pPr>
            <w:r>
              <w:t vyd:_id="vyd:000000000000ef">C4</w:t>
            </w:r>
          </w:p>
        </w:tc>
        <w:tc vyd:_id="vyd:000000000000ea">
          <w:tcPr>
            <w:tcMar>
              <w:top w:w="80" w:type="dxa"/>
              <w:start w:w="120" w:type="dxa"/>
              <w:bottom w:w="80" w:type="dxa"/>
              <w:end w:w="120" w:type="dxa"/>
            </w:tcMar>
            <w:vAlign w:val="center"/>
          </w:tcPr>
          <w:p vyd:_id="vyd:000000000000eb">
            <w:pPr>
              <w:spacing w:after="0"/>
              <w:jc w:val="start"/>
            </w:pPr>
            <w:r>
              <w:t vyd:_id="vyd:000000000000ec">Legal Code License</w:t>
            </w:r>
          </w:p>
        </w:tc>
        <w:tc vyd:_id="vyd:000000000000e7">
          <w:tcPr>
            <w:tcMar>
              <w:top w:w="80" w:type="dxa"/>
              <w:start w:w="120" w:type="dxa"/>
              <w:bottom w:w="80" w:type="dxa"/>
              <w:end w:w="120" w:type="dxa"/>
            </w:tcMar>
            <w:vAlign w:val="center"/>
          </w:tcPr>
          <w:p vyd:_id="vyd:000000000000e8">
            <w:pPr>
              <w:spacing w:after="0"/>
              <w:jc w:val="start"/>
            </w:pPr>
            <w:r>
              <w:t vyd:_id="vyd:000000000000e9">Source-available non-commercial licence following the PolyForm Noncommercial License 1.0.0 model; commercial use is not permitted under the public licence and requires a separate written commercial licence</w:t>
            </w:r>
          </w:p>
        </w:tc>
      </w:tr>
      <w:tr vyd:_id="vyd:000000000000dw">
        <w:tc vyd:_id="vyd:000000000000e3">
          <w:tcPr>
            <w:tcMar>
              <w:top w:w="80" w:type="dxa"/>
              <w:start w:w="120" w:type="dxa"/>
              <w:bottom w:w="80" w:type="dxa"/>
              <w:end w:w="120" w:type="dxa"/>
            </w:tcMar>
            <w:vAlign w:val="center"/>
          </w:tcPr>
          <w:p vyd:_id="vyd:000000000000e4">
            <w:pPr>
              <w:spacing w:after="0"/>
              <w:jc w:val="start"/>
            </w:pPr>
            <w:r>
              <w:t vyd:_id="vyd:000000000000e5">C5</w:t>
            </w:r>
          </w:p>
        </w:tc>
        <w:tc vyd:_id="vyd:000000000000e0">
          <w:tcPr>
            <w:tcMar>
              <w:top w:w="80" w:type="dxa"/>
              <w:start w:w="120" w:type="dxa"/>
              <w:bottom w:w="80" w:type="dxa"/>
              <w:end w:w="120" w:type="dxa"/>
            </w:tcMar>
            <w:vAlign w:val="center"/>
          </w:tcPr>
          <w:p vyd:_id="vyd:000000000000e1">
            <w:pPr>
              <w:spacing w:after="0"/>
              <w:jc w:val="start"/>
            </w:pPr>
            <w:r>
              <w:t vyd:_id="vyd:000000000000e2">Code versioning system used</w:t>
            </w:r>
          </w:p>
        </w:tc>
        <w:tc vyd:_id="vyd:000000000000dx">
          <w:tcPr>
            <w:tcMar>
              <w:top w:w="80" w:type="dxa"/>
              <w:start w:w="120" w:type="dxa"/>
              <w:bottom w:w="80" w:type="dxa"/>
              <w:end w:w="120" w:type="dxa"/>
            </w:tcMar>
            <w:vAlign w:val="center"/>
          </w:tcPr>
          <w:p vyd:_id="vyd:000000000000dy">
            <w:pPr>
              <w:spacing w:after="0"/>
              <w:jc w:val="start"/>
            </w:pPr>
            <w:r>
              <w:t vyd:_id="vyd:000000000000dz">git</w:t>
            </w:r>
          </w:p>
        </w:tc>
      </w:tr>
      <w:tr vyd:_id="vyd:000000000000dm">
        <w:tc vyd:_id="vyd:000000000000dt">
          <w:tcPr>
            <w:tcMar>
              <w:top w:w="80" w:type="dxa"/>
              <w:start w:w="120" w:type="dxa"/>
              <w:bottom w:w="80" w:type="dxa"/>
              <w:end w:w="120" w:type="dxa"/>
            </w:tcMar>
            <w:vAlign w:val="center"/>
          </w:tcPr>
          <w:p vyd:_id="vyd:000000000000du">
            <w:pPr>
              <w:spacing w:after="0"/>
              <w:jc w:val="start"/>
            </w:pPr>
            <w:r>
              <w:t vyd:_id="vyd:000000000000dv">C6</w:t>
            </w:r>
          </w:p>
        </w:tc>
        <w:tc vyd:_id="vyd:000000000000dq">
          <w:tcPr>
            <w:tcMar>
              <w:top w:w="80" w:type="dxa"/>
              <w:start w:w="120" w:type="dxa"/>
              <w:bottom w:w="80" w:type="dxa"/>
              <w:end w:w="120" w:type="dxa"/>
            </w:tcMar>
            <w:vAlign w:val="center"/>
          </w:tcPr>
          <w:p vyd:_id="vyd:000000000000dr">
            <w:pPr>
              <w:spacing w:after="0"/>
              <w:jc w:val="start"/>
            </w:pPr>
            <w:r>
              <w:t vyd:_id="vyd:000000000000ds">Software languages, tools, and services</w:t>
            </w:r>
          </w:p>
        </w:tc>
        <w:tc vyd:_id="vyd:000000000000dn">
          <w:tcPr>
            <w:tcMar>
              <w:top w:w="80" w:type="dxa"/>
              <w:start w:w="120" w:type="dxa"/>
              <w:bottom w:w="80" w:type="dxa"/>
              <w:end w:w="120" w:type="dxa"/>
            </w:tcMar>
            <w:vAlign w:val="center"/>
          </w:tcPr>
          <w:p vyd:_id="vyd:000000000000do">
            <w:pPr>
              <w:spacing w:after="0"/>
              <w:jc w:val="start"/>
            </w:pPr>
            <w:r>
              <w:t vyd:_id="vyd:000000000000dp">JavaScript (ES2020+), HTML5 Canvas API, typed arrays (Uint8Array, Float32Array, Int32Array); Electron (desktop package)</w:t>
            </w:r>
          </w:p>
        </w:tc>
      </w:tr>
      <w:tr vyd:_id="vyd:000000000000dc">
        <w:tc vyd:_id="vyd:000000000000dj">
          <w:tcPr>
            <w:tcMar>
              <w:top w:w="80" w:type="dxa"/>
              <w:start w:w="120" w:type="dxa"/>
              <w:bottom w:w="80" w:type="dxa"/>
              <w:end w:w="120" w:type="dxa"/>
            </w:tcMar>
            <w:vAlign w:val="center"/>
          </w:tcPr>
          <w:p vyd:_id="vyd:000000000000dk">
            <w:pPr>
              <w:spacing w:after="0"/>
              <w:jc w:val="start"/>
            </w:pPr>
            <w:r>
              <w:t vyd:_id="vyd:000000000000dl">C7</w:t>
            </w:r>
          </w:p>
        </w:tc>
        <w:tc vyd:_id="vyd:000000000000dg">
          <w:tcPr>
            <w:tcMar>
              <w:top w:w="80" w:type="dxa"/>
              <w:start w:w="120" w:type="dxa"/>
              <w:bottom w:w="80" w:type="dxa"/>
              <w:end w:w="120" w:type="dxa"/>
            </w:tcMar>
            <w:vAlign w:val="center"/>
          </w:tcPr>
          <w:p vyd:_id="vyd:000000000000dh">
            <w:pPr>
              <w:spacing w:after="0"/>
              <w:jc w:val="start"/>
            </w:pPr>
            <w:r>
              <w:t vyd:_id="vyd:000000000000di">Compilation requirements and dependencies</w:t>
            </w:r>
          </w:p>
        </w:tc>
        <w:tc vyd:_id="vyd:000000000000dd">
          <w:tcPr>
            <w:tcMar>
              <w:top w:w="80" w:type="dxa"/>
              <w:start w:w="120" w:type="dxa"/>
              <w:bottom w:w="80" w:type="dxa"/>
              <w:end w:w="120" w:type="dxa"/>
            </w:tcMar>
            <w:vAlign w:val="center"/>
          </w:tcPr>
          <w:p vyd:_id="vyd:000000000000de">
            <w:pPr>
              <w:spacing w:after="0"/>
              <w:jc w:val="start"/>
            </w:pPr>
            <w:r>
              <w:t vyd:_id="vyd:000000000000df">Runs in any modern Chromium- or Firefox-based browser with no installation or dependency; desktop build requires Node.js ≥ 18 and Electron</w:t>
            </w:r>
          </w:p>
        </w:tc>
      </w:tr>
      <w:tr vyd:_id="vyd:000000000000d2">
        <w:tc vyd:_id="vyd:000000000000d9">
          <w:tcPr>
            <w:tcMar>
              <w:top w:w="80" w:type="dxa"/>
              <w:start w:w="120" w:type="dxa"/>
              <w:bottom w:w="80" w:type="dxa"/>
              <w:end w:w="120" w:type="dxa"/>
            </w:tcMar>
            <w:vAlign w:val="center"/>
          </w:tcPr>
          <w:p vyd:_id="vyd:000000000000da">
            <w:pPr>
              <w:spacing w:after="0"/>
              <w:jc w:val="start"/>
            </w:pPr>
            <w:r>
              <w:t vyd:_id="vyd:000000000000db">C8</w:t>
            </w:r>
          </w:p>
        </w:tc>
        <w:tc vyd:_id="vyd:000000000000d6">
          <w:tcPr>
            <w:tcMar>
              <w:top w:w="80" w:type="dxa"/>
              <w:start w:w="120" w:type="dxa"/>
              <w:bottom w:w="80" w:type="dxa"/>
              <w:end w:w="120" w:type="dxa"/>
            </w:tcMar>
            <w:vAlign w:val="center"/>
          </w:tcPr>
          <w:p vyd:_id="vyd:000000000000d7">
            <w:pPr>
              <w:spacing w:after="0"/>
              <w:jc w:val="start"/>
            </w:pPr>
            <w:r>
              <w:t vyd:_id="vyd:000000000000d8">Link to developer documentation</w:t>
            </w:r>
          </w:p>
        </w:tc>
        <w:tc vyd:_id="vyd:000000000000d3">
          <w:tcPr>
            <w:tcMar>
              <w:top w:w="80" w:type="dxa"/>
              <w:start w:w="120" w:type="dxa"/>
              <w:bottom w:w="80" w:type="dxa"/>
              <w:end w:w="120" w:type="dxa"/>
            </w:tcMar>
            <w:vAlign w:val="center"/>
          </w:tcPr>
          <w:p vyd:_id="vyd:000000000000d4">
            <w:pPr>
              <w:spacing w:after="0"/>
              <w:jc w:val="start"/>
            </w:pPr>
            <w:r>
              <w:t vyd:_id="vyd:000000000000d5">https://github.com/zduzgun/CytoMove (README and /docs)</w:t>
            </w:r>
          </w:p>
        </w:tc>
      </w:tr>
      <w:tr vyd:_id="vyd:000000000000cs">
        <w:tc vyd:_id="vyd:000000000000cz">
          <w:tcPr>
            <w:tcMar>
              <w:top w:w="80" w:type="dxa"/>
              <w:start w:w="120" w:type="dxa"/>
              <w:bottom w:w="80" w:type="dxa"/>
              <w:end w:w="120" w:type="dxa"/>
            </w:tcMar>
            <w:vAlign w:val="center"/>
          </w:tcPr>
          <w:p vyd:_id="vyd:000000000000d0">
            <w:pPr>
              <w:spacing w:after="0"/>
              <w:jc w:val="start"/>
            </w:pPr>
            <w:r>
              <w:t vyd:_id="vyd:000000000000d1">C9</w:t>
            </w:r>
          </w:p>
        </w:tc>
        <w:tc vyd:_id="vyd:000000000000cw">
          <w:tcPr>
            <w:tcMar>
              <w:top w:w="80" w:type="dxa"/>
              <w:start w:w="120" w:type="dxa"/>
              <w:bottom w:w="80" w:type="dxa"/>
              <w:end w:w="120" w:type="dxa"/>
            </w:tcMar>
            <w:vAlign w:val="center"/>
          </w:tcPr>
          <w:p vyd:_id="vyd:000000000000cx">
            <w:pPr>
              <w:spacing w:after="0"/>
              <w:jc w:val="start"/>
            </w:pPr>
            <w:r>
              <w:t vyd:_id="vyd:000000000000cy">Support email</w:t>
            </w:r>
          </w:p>
        </w:tc>
        <w:tc vyd:_id="vyd:000000000000ct">
          <w:tcPr>
            <w:tcMar>
              <w:top w:w="80" w:type="dxa"/>
              <w:start w:w="120" w:type="dxa"/>
              <w:bottom w:w="80" w:type="dxa"/>
              <w:end w:w="120" w:type="dxa"/>
            </w:tcMar>
            <w:vAlign w:val="center"/>
          </w:tcPr>
          <w:p vyd:_id="vyd:000000000000cu">
            <w:pPr>
              <w:spacing w:after="0"/>
              <w:jc w:val="start"/>
            </w:pPr>
            <w:r>
              <w:t vyd:_id="vyd:000000000000cv">zekeriya.duzgun@giresun.edu.tr</w:t>
            </w:r>
          </w:p>
        </w:tc>
      </w:tr>
    </w:tbl>
    <w:p vyd:_id="vyd:000000000000cq"/>
    <w:p vyd:_id="vyd:000000000000co">
      <w:pPr>
        <w:pStyle w:val="Heading1"/>
      </w:pPr>
      <w:r>
        <w:rPr>
          <w:rFonts w:ascii="Times New Roman" w:hAnsi="Times New Roman" w:eastAsia="Times New Roman"/>
          <w:sz w:val="24"/>
          <w:color w:val="000000"/>
          <w:b w:val="1"/>
        </w:rPr>
        <w:t vyd:_id="vyd:000000000000cp">References</w:t>
      </w:r>
    </w:p>
    <w:p vyd:_id="vyd:000000000000cm">
      <w:r>
        <w:t vyd:_id="vyd:000000000000cn">Archit, Anwai, Luca Freckmann, Sushmita Nair, Nabeel Khalid, Paul Hilt, Vikas Rajashekar, Marei Freitag, Carolin Teuber, et al. 2025. "Segment Anything for Microscopy." Nature Methods 22:579–591. https://doi.org/10.1038/s41592-024-02580-4.</w:t>
      </w:r>
    </w:p>
    <w:p vyd:_id="vyd:000000000000ci">
      <w:r>
        <w:t vyd:_id="vyd:000000000000cl" xml:space="preserve">Berg, Stuart, Dominik Kutra, Thorben Kroeger, Christoph N. Straehle, Bernhard X. Kausler, Carsten Haubold, Martin Schiegg, et al. 2019. "ilastik: Interactive Machine Learning for (Bio)Image Analysis." </w:t>
      </w:r>
      <w:r>
        <w:rPr>
          <w:i w:val="1"/>
        </w:rPr>
        <w:t vyd:_id="vyd:000000000000ck">Nature Methods</w:t>
      </w:r>
      <w:r>
        <w:t vyd:_id="vyd:000000000000cj" xml:space="preserve"> 16 (12):1226–1232. https://doi.org/10.1038/s41592-019-0582-9.</w:t>
      </w:r>
    </w:p>
    <w:p vyd:_id="vyd:000000000000ce">
      <w:r>
        <w:t vyd:_id="vyd:000000000000ch" xml:space="preserve">Bland, J. Martin, and Douglas G. Altman. 1986. "Statistical Methods for Assessing Agreement between Two Methods of Clinical Measurement." </w:t>
      </w:r>
      <w:r>
        <w:rPr>
          <w:i w:val="1"/>
        </w:rPr>
        <w:t vyd:_id="vyd:000000000000cg">The Lancet</w:t>
      </w:r>
      <w:r>
        <w:t vyd:_id="vyd:000000000000cf" xml:space="preserve"> 327 (8476):307–310. https://doi.org/10.1016/S0140-6736(86)90837-8.</w:t>
      </w:r>
    </w:p>
    <w:p vyd:_id="vyd:000000000000ca">
      <w:r>
        <w:t vyd:_id="vyd:000000000000cd" xml:space="preserve">Carpenter, Anne E., Thouis R. Jones, Michael R. Lamprecht, Colin Clarke, In Han Kang, Ola Friman, David A. Guertin, et al. 2006. "CellProfiler: Image Analysis Software for Identifying and Quantifying Cell Phenotypes." </w:t>
      </w:r>
      <w:r>
        <w:rPr>
          <w:i w:val="1"/>
        </w:rPr>
        <w:t vyd:_id="vyd:000000000000cc">Genome Biology</w:t>
      </w:r>
      <w:r>
        <w:t vyd:_id="vyd:000000000000cb" xml:space="preserve"> 7 (10):R100. https://doi.org/10.1186/gb-2006-7-10-r100.</w:t>
      </w:r>
    </w:p>
    <w:p vyd:_id="vyd:000000000000c6">
      <w:r>
        <w:t vyd:_id="vyd:000000000000c9" xml:space="preserve">Crow, Franklin C. 1984. "Summed-Area Tables for Texture Mapping." </w:t>
      </w:r>
      <w:r>
        <w:rPr>
          <w:i w:val="1"/>
        </w:rPr>
        <w:t vyd:_id="vyd:000000000000c8">Computer Graphics (SIGGRAPH '84)</w:t>
      </w:r>
      <w:r>
        <w:t vyd:_id="vyd:000000000000c7" xml:space="preserve"> 18 (3):207–212. https://doi.org/10.1145/964965.808600.</w:t>
      </w:r>
    </w:p>
    <w:p vyd:_id="vyd:000000000000c2">
      <w:r>
        <w:t vyd:_id="vyd:000000000000c5" xml:space="preserve">Düzgün, Zekeriya, Funda Demirtaş Korkmaz, and Egemen Akgün. 2024. "FDI-6 Inhibits VEGF-B Expression in Metastatic Breast Cancer: A Combined In Vitro and In Silico Study." </w:t>
      </w:r>
      <w:r>
        <w:rPr>
          <w:i w:val="1"/>
        </w:rPr>
        <w:t vyd:_id="vyd:000000000000c4">Molecular Diversity</w:t>
      </w:r>
      <w:r>
        <w:t vyd:_id="vyd:000000000000c3" xml:space="preserve"> 29 (2):1069–1078. https://doi.org/10.1007/s11030-024-10891-z.</w:t>
      </w:r>
    </w:p>
    <w:p vyd:_id="vyd:000000000000by">
      <w:r>
        <w:t vyd:_id="vyd:000000000000c1" xml:space="preserve">Friedl, Peter, and Darren Gilmour. 2009. "Collective Cell Migration in Morphogenesis, Regeneration and Cancer." </w:t>
      </w:r>
      <w:r>
        <w:rPr>
          <w:i w:val="1"/>
        </w:rPr>
        <w:t vyd:_id="vyd:000000000000c0">Nature Reviews Molecular Cell Biology</w:t>
      </w:r>
      <w:r>
        <w:t vyd:_id="vyd:000000000000bz" xml:space="preserve"> 10 (7):445–457. https://doi.org/10.1038/nrm2720.</w:t>
      </w:r>
    </w:p>
    <w:p vyd:_id="vyd:000000000000bu">
      <w:r>
        <w:t vyd:_id="vyd:000000000000bx" xml:space="preserve">Garcia-Fossa, Fernanda, Vladimir Gaal, and Marcelo Bispo de Jesus. 2020. "PyScratch: An Ease of Use Tool for Analysis of Scratch Assays." </w:t>
      </w:r>
      <w:r>
        <w:rPr>
          <w:i w:val="1"/>
        </w:rPr>
        <w:t vyd:_id="vyd:000000000000bw">Computer Methods and Programs in Biomedicine</w:t>
      </w:r>
      <w:r>
        <w:t vyd:_id="vyd:000000000000bv" xml:space="preserve"> 193:105476. https://doi.org/10.1016/j.cmpb.2020.105476.</w:t>
      </w:r>
    </w:p>
    <w:p vyd:_id="vyd:000000000000bq">
      <w:r>
        <w:t vyd:_id="vyd:000000000000bt" xml:space="preserve">Gebäck, Tobias, Martin Michael Peter Schulz, Petros Koumoutsakos, and Michael Detmar. 2009. "TScratch: A Novel and Simple Software Tool for Automated Analysis of Monolayer Wound Healing Assays." </w:t>
      </w:r>
      <w:r>
        <w:rPr>
          <w:i w:val="1"/>
        </w:rPr>
        <w:t vyd:_id="vyd:000000000000bs">BioTechniques</w:t>
      </w:r>
      <w:r>
        <w:t vyd:_id="vyd:000000000000br" xml:space="preserve"> 46 (4):265–274. https://doi.org/10.2144/000113083.</w:t>
      </w:r>
    </w:p>
    <w:p vyd:_id="vyd:000000000000bm">
      <w:r>
        <w:t vyd:_id="vyd:000000000000bp" xml:space="preserve">Grada, Ayman, Marta Otero-Vinas, Fanny Prieto-Castrillo, Zaidal Obagi, and Vincent Falanga. 2017. "Research Techniques Made Simple: Analysis of Collective Cell Migration Using the Wound Healing Assay." </w:t>
      </w:r>
      <w:r>
        <w:rPr>
          <w:i w:val="1"/>
        </w:rPr>
        <w:t vyd:_id="vyd:000000000000bo">Journal of Investigative Dermatology</w:t>
      </w:r>
      <w:r>
        <w:t vyd:_id="vyd:000000000000bn" xml:space="preserve"> 137 (2):e11–e16. https://doi.org/10.1016/j.jid.2016.11.020.</w:t>
      </w:r>
    </w:p>
    <w:p vyd:_id="vyd:000000000000bk">
      <w:r>
        <w:t vyd:_id="vyd:000000000000bl">Iheme, Leonardo Obinna, Sevgi Onal, Yusuf Sait Erdem, Mahmut Ucar, Ozden Yalcin-Ozuysal, Devrim Pesen-Okvur, Behçet U. Töreyin, and Devrim Ünay. 2024. "Wound Healing Assay Dataset (WHAD) and Cell Adhesion and Motility Assay Dataset (CAMAD)" (Version 1.0.0-alpha) [Data set]. Zenodo, CC BY 4.0. https://doi.org/10.5281/zenodo.12806149.</w:t>
      </w:r>
    </w:p>
    <w:p vyd:_id="vyd:000000000000bg">
      <w:r>
        <w:t vyd:_id="vyd:000000000000bj" xml:space="preserve">Jonkman, James E. N., Jason A. Cathcart, Feng Xu, Mary E. Bartolini, Jennifer E. Amon, Kristopher M. Stevens, and Pina Colarusso. 2014. "An Introduction to the Wound Healing Assay Using Live-Cell Microscopy." </w:t>
      </w:r>
      <w:r>
        <w:rPr>
          <w:i w:val="1"/>
        </w:rPr>
        <w:t vyd:_id="vyd:000000000000bi">Cell Adhesion &amp; Migration</w:t>
      </w:r>
      <w:r>
        <w:t vyd:_id="vyd:000000000000bh" xml:space="preserve"> 8 (5):440–451. https://doi.org/10.4161/cam.36224.</w:t>
      </w:r>
    </w:p>
    <w:p vyd:_id="vyd:000000000000bc">
      <w:r>
        <w:t vyd:_id="vyd:000000000000bf" xml:space="preserve">Liang, Chia-Chen, Ann Y. Park, and Jun-Lin Guan. 2007. "In Vitro Scratch Assay: A Convenient and Inexpensive Method for Analysis of Cell Migration in Vitro." </w:t>
      </w:r>
      <w:r>
        <w:rPr>
          <w:i w:val="1"/>
        </w:rPr>
        <w:t vyd:_id="vyd:000000000000be">Nature Protocols</w:t>
      </w:r>
      <w:r>
        <w:t vyd:_id="vyd:000000000000bd" xml:space="preserve"> 2 (2):329–333. https://doi.org/10.1038/nprot.2007.30.</w:t>
      </w:r>
    </w:p>
    <w:p vyd:_id="vyd:000000000000b8">
      <w:r>
        <w:t vyd:_id="vyd:000000000000bb" xml:space="preserve">Lin, Y., A. Silverman-Dultz, M. Bailey, and D. J. Cohen. 2024. "A Programmable, Open-Source Robot That Scratches Cultured Tissues to Investigate Cell Migration, Healing, and Tissue Sculpting." </w:t>
      </w:r>
      <w:r>
        <w:rPr>
          <w:i w:val="1"/>
        </w:rPr>
        <w:t vyd:_id="vyd:000000000000ba">Cell Reports Methods</w:t>
      </w:r>
      <w:r>
        <w:t vyd:_id="vyd:000000000000b9" xml:space="preserve"> 4 (12):100915. https://doi.org/10.1016/j.crmeth.2024.100915.</w:t>
      </w:r>
    </w:p>
    <w:p vyd:_id="vyd:000000000000b4">
      <w:r>
        <w:t vyd:_id="vyd:000000000000b7" xml:space="preserve">Ma, Jun, Yuting He, Feifei Li, Lin Han, Chenyu You, and Bo Wang. 2024. "Segment Anything in Medical Images." </w:t>
      </w:r>
      <w:r>
        <w:rPr>
          <w:i w:val="1"/>
        </w:rPr>
        <w:t vyd:_id="vyd:000000000000b6">Nature Communications</w:t>
      </w:r>
      <w:r>
        <w:t vyd:_id="vyd:000000000000b5" xml:space="preserve"> 15:654. https://doi.org/10.1038/s41467-024-44824-z.</w:t>
      </w:r>
    </w:p>
    <w:p vyd:_id="vyd:000000000000b0">
      <w:r>
        <w:t vyd:_id="vyd:000000000000b3" xml:space="preserve">Maier-Hein, Lena, Annika Reinke, Patrick Godau, Minu D. Tizabi, Florian Buettner, Evangelia Christodoulou, Ben Glocker, et al. 2024. "Metrics Reloaded: Recommendations for Image Analysis Validation." </w:t>
      </w:r>
      <w:r>
        <w:rPr>
          <w:i w:val="1"/>
        </w:rPr>
        <w:t vyd:_id="vyd:000000000000b2">Nature Methods</w:t>
      </w:r>
      <w:r>
        <w:t vyd:_id="vyd:000000000000b1" xml:space="preserve"> 21 (2):195–212. https://doi.org/10.1038/s41592-023-02151-z.</w:t>
      </w:r>
    </w:p>
    <w:p vyd:_id="vyd:000000000000aw">
      <w:r>
        <w:t vyd:_id="vyd:000000000000az" xml:space="preserve">Otsu, Nobuyuki. 1979. "A Threshold Selection Method from Gray-Level Histograms." </w:t>
      </w:r>
      <w:r>
        <w:rPr>
          <w:i w:val="1"/>
        </w:rPr>
        <w:t vyd:_id="vyd:000000000000ay">IEEE Transactions on Systems, Man, and Cybernetics</w:t>
      </w:r>
      <w:r>
        <w:t vyd:_id="vyd:000000000000ax" xml:space="preserve"> 9 (1):62–66. https://doi.org/10.1109/TSMC.1979.4310076.</w:t>
      </w:r>
    </w:p>
    <w:p vyd:_id="vyd:000000000000as">
      <w:r>
        <w:t vyd:_id="vyd:000000000000av" xml:space="preserve">Pham, Tri Thanh, Amina Sagymbayeva, Timur Elebessov, Zhadyra Onzhanova, and Ferdinand Molnár. 2025. "CSMA: A Standalone and ImageJ-Compatible Tool for Enhanced Wound Healing Assay Analysis." </w:t>
      </w:r>
      <w:r>
        <w:rPr>
          <w:i w:val="1"/>
        </w:rPr>
        <w:t vyd:_id="vyd:000000000000au">IEEE Access</w:t>
      </w:r>
      <w:r>
        <w:t vyd:_id="vyd:000000000000at" xml:space="preserve"> 13:69341–69352. https://doi.org/10.1109/ACCESS.2025.3561607.</w:t>
      </w:r>
    </w:p>
    <w:p vyd:_id="vyd:000000000000ao">
      <w:r>
        <w:t vyd:_id="vyd:000000000000ar" xml:space="preserve">Schindelin, Johannes, Ignacio Arganda-Carreras, Erwin Frise, Verena Kaynig, Mark Longair, Tobias Pietzsch, Stephan Preibisch, Curtis Rueden, Stephan Saalfeld, Benjamin Schmid, Jean-Yves Tinevez, Daniel James White, Volker Hartenstein, Kevin Eliceiri, Pavel Tomancak, and Albert Cardona. 2012. "Fiji: An Open-Source Platform for Biological-Image Analysis." </w:t>
      </w:r>
      <w:r>
        <w:rPr>
          <w:i w:val="1"/>
        </w:rPr>
        <w:t vyd:_id="vyd:000000000000aq">Nature Methods</w:t>
      </w:r>
      <w:r>
        <w:t vyd:_id="vyd:000000000000ap" xml:space="preserve"> 9 (7):676–682. https://doi.org/10.1038/nmeth.2019.</w:t>
      </w:r>
    </w:p>
    <w:p vyd:_id="vyd:000000000000ak">
      <w:r>
        <w:t vyd:_id="vyd:000000000000an" xml:space="preserve">Schneider, Caroline A., Wayne S. Rasband, and Kevin W. Eliceiri. 2012. "NIH Image to ImageJ: 25 Years of Image Analysis." </w:t>
      </w:r>
      <w:r>
        <w:rPr>
          <w:i w:val="1"/>
        </w:rPr>
        <w:t vyd:_id="vyd:000000000000am">Nature Methods</w:t>
      </w:r>
      <w:r>
        <w:t vyd:_id="vyd:000000000000al" xml:space="preserve"> 9 (7):671–675. https://doi.org/10.1038/nmeth.2089.</w:t>
      </w:r>
    </w:p>
    <w:p vyd:_id="vyd:000000000000ag">
      <w:r>
        <w:t vyd:_id="vyd:000000000000aj" xml:space="preserve">Soille, Pierre. 2004. </w:t>
      </w:r>
      <w:r>
        <w:rPr>
          <w:i w:val="1"/>
        </w:rPr>
        <w:t vyd:_id="vyd:000000000000ai">Morphological Image Analysis: Principles and Applications.</w:t>
      </w:r>
      <w:r>
        <w:t vyd:_id="vyd:000000000000ah" xml:space="preserve"> 2nd ed. Berlin: Springer. https://doi.org/10.1007/978-3-662-05088-0.</w:t>
      </w:r>
    </w:p>
    <w:p vyd:_id="vyd:000000000000ac">
      <w:r>
        <w:t vyd:_id="vyd:000000000000af" xml:space="preserve">Stirling, David R., Madison J. Swain-Bowden, Alice M. Lucas, Anne E. Carpenter, Beth A. Cimini, and Allen Goodman. 2021. "CellProfiler 4: Improvements in Speed, Utility and Usability." </w:t>
      </w:r>
      <w:r>
        <w:rPr>
          <w:i w:val="1"/>
        </w:rPr>
        <w:t vyd:_id="vyd:000000000000ae">BMC Bioinformatics</w:t>
      </w:r>
      <w:r>
        <w:t vyd:_id="vyd:000000000000ad" xml:space="preserve"> 22:433. https://doi.org/10.1186/s12859-021-04344-9.</w:t>
      </w:r>
    </w:p>
    <w:p vyd:_id="vyd:000000000000a8">
      <w:r>
        <w:t vyd:_id="vyd:000000000000ab" xml:space="preserve">Stringer, Carsen, and Marius Pachitariu. 2025. "Cellpose3: One-Click Image Restoration for Improved Cellular Segmentation." </w:t>
      </w:r>
      <w:r>
        <w:rPr>
          <w:i w:val="1"/>
        </w:rPr>
        <w:t vyd:_id="vyd:000000000000aa">Nature Methods</w:t>
      </w:r>
      <w:r>
        <w:t vyd:_id="vyd:000000000000a9" xml:space="preserve"> 22:592–599. https://doi.org/10.1038/s41592-025-02595-5.</w:t>
      </w:r>
    </w:p>
    <w:p vyd:_id="vyd:000000000000a6">
      <w:r>
        <w:t vyd:_id="vyd:000000000000a7">Suarez-Arnedo, Alejandra, Felipe Torres Figueroa, Camila Clavijo, Pablo Arbeláez, Juan C. Cruz, and Carolina Muñoz-Camargo. 2020. "An ImageJ Plugin for the High Throughput Image Analysis of In Vitro Scratch Wound Healing Assays." PLOS ONE 15 (7):e0232565. https://doi.org/10.1371/journal.pone.0232565.</w:t>
      </w:r>
    </w:p>
    <w:p vyd:_id="vyd:000000000000a2">
      <w:r>
        <w:t vyd:_id="vyd:000000000000a5" xml:space="preserve">Taha, Abdel Aziz, and Allan Hanbury. 2015. "Metrics for Evaluating 3D Medical Image Segmentation: Analysis, Selection, and Tool." </w:t>
      </w:r>
      <w:r>
        <w:rPr>
          <w:i w:val="1"/>
        </w:rPr>
        <w:t vyd:_id="vyd:000000000000a4">BMC Medical Imaging</w:t>
      </w:r>
      <w:r>
        <w:t vyd:_id="vyd:000000000000a3" xml:space="preserve"> 15:29. https://doi.org/10.1186/s12880-015-0068-x.</w:t>
      </w:r>
    </w:p>
    <w:p vyd:_id="vyd:0000000000009y">
      <w:r>
        <w:t vyd:_id="vyd:000000000000a1" xml:space="preserve">Topman, Gil, Orna Sharabani-Yosef, and Amit Gefen. 2012. "A Standardized Objective Method for Continuously Measuring the Kinematics of Cultures Covering a Mechanically Damaged Site." </w:t>
      </w:r>
      <w:r>
        <w:rPr>
          <w:i w:val="1"/>
        </w:rPr>
        <w:t vyd:_id="vyd:000000000000a0">Medical Engineering &amp; Physics</w:t>
      </w:r>
      <w:r>
        <w:t vyd:_id="vyd:0000000000009z" xml:space="preserve"> 34 (2):225–232. https://doi.org/10.1016/j.medengphy.2011.07.014.</w:t>
      </w:r>
    </w:p>
    <w:p vyd:_id="vyd:0000000000009u">
      <w:r>
        <w:t vyd:_id="vyd:0000000000009x" xml:space="preserve">Vašinková, Markéta, Michal Krumnikl, Arootin Gharibian, Ondřej Mičulek, Eva Kriegová, and Petr Gajdoš. 2025. "A Novel Method for Evaluating and Visualizing Scratch Wound Healing Assays Using Level-Set and Image Sector Analysis." </w:t>
      </w:r>
      <w:r>
        <w:rPr>
          <w:i w:val="1"/>
        </w:rPr>
        <w:t vyd:_id="vyd:0000000000009w">PNAS Nexus</w:t>
      </w:r>
      <w:r>
        <w:t vyd:_id="vyd:0000000000009v" xml:space="preserve"> 4 (11):pgaf355. https://doi.org/10.1093/pnasnexus/pgaf355.</w:t>
      </w:r>
    </w:p>
    <w:p vyd:_id="vyd:0000000000009q">
      <w:r>
        <w:t vyd:_id="vyd:0000000000009t" xml:space="preserve">Viola, Paul, and Michael Jones. 2001. "Rapid Object Detection Using a Boosted Cascade of Simple Features." In </w:t>
      </w:r>
      <w:r>
        <w:rPr>
          <w:i w:val="1"/>
        </w:rPr>
        <w:t vyd:_id="vyd:0000000000009s">Proceedings of the 2001 IEEE Computer Society Conference on Computer Vision and Pattern Recognition (CVPR)</w:t>
      </w:r>
      <w:r>
        <w:t vyd:_id="vyd:0000000000009r">, I-511–I-518. https://doi.org/10.1109/CVPR.2001.990517.</w:t>
      </w:r>
    </w:p>
    <w:p vyd:_id="vyd:0000000000009m">
      <w:r>
        <w:t vyd:_id="vyd:0000000000009p" xml:space="preserve">Wilkinson, Mark D., Michel Dumontier, IJsbrand Jan Aalbersberg, Gabrielle Appleton, Myles Axton, Arie Baak, Niklas Blomberg, et al. 2016. "The FAIR Guiding Principles for Scientific Data Management and Stewardship." </w:t>
      </w:r>
      <w:r>
        <w:rPr>
          <w:i w:val="1"/>
        </w:rPr>
        <w:t vyd:_id="vyd:0000000000009o">Scientific Data</w:t>
      </w:r>
      <w:r>
        <w:t vyd:_id="vyd:0000000000009n" xml:space="preserve"> 3:160018. https://doi.org/10.1038/sdata.2016.18.</w:t>
      </w:r>
    </w:p>
    <w:p vyd:_id="vyd:0000000000009i">
      <w:r>
        <w:t vyd:_id="vyd:0000000000009l" xml:space="preserve">Zordan, Michael D., Christopher P. Mill, David J. Riese, and James F. Leary. 2011. "A High Throughput, Interactive Imaging, Bright-Field Wound Healing Assay." </w:t>
      </w:r>
      <w:r>
        <w:rPr>
          <w:i w:val="1"/>
        </w:rPr>
        <w:t vyd:_id="vyd:0000000000009k">Cytometry Part A</w:t>
      </w:r>
      <w:r>
        <w:t vyd:_id="vyd:0000000000009j" xml:space="preserve"> 79 (3):227–232. https://doi.org/10.1002/cyto.a.21029.</w:t>
      </w:r>
    </w:p>
    <w:p vyd:_id="vyd:0000000000009g">
      <w:pPr>
        <w:pStyle w:val="Heading1"/>
      </w:pPr>
      <w:r>
        <w:rPr>
          <w:rFonts w:ascii="Times New Roman" w:hAnsi="Times New Roman" w:eastAsia="Times New Roman"/>
          <w:sz w:val="24"/>
          <w:color w:val="000000"/>
          <w:b w:val="1"/>
        </w:rPr>
        <w:t vyd:_id="vyd:0000000000009h">Tables</w:t>
      </w:r>
    </w:p>
    <w:p vyd:_id="vyd:0000000000009e">
      <w:r>
        <w:rPr>
          <w:b w:val="1"/>
        </w:rPr>
        <w:t vyd:_id="vyd:0000000000009f">Table 2. Preliminary validation datasets.</w:t>
      </w:r>
    </w:p>
    <w:tbl vyd:_id="vyd:0000000000006p">
      <w:tblPr>
        <w:tblStyle w:val="TableGrid"/>
        <w:tblW w:w="9360" w:type="dxa"/>
        <w:jc w:val="center"/>
        <w:tblLook w:firstRow="1" w:lastRow="0" w:firstColumn="1" w:lastColumn="0" w:noHBand="0" w:noVBand="1" w:val="07c5"/>
      </w:tblPr>
      <w:tblGrid>
        <w:gridCol w:w="1872"/>
        <w:gridCol w:w="1872"/>
        <w:gridCol w:w="1872"/>
        <w:gridCol w:w="1872"/>
        <w:gridCol w:w="1872"/>
      </w:tblGrid>
      <w:tr vyd:_id="vyd:0000000000008y">
        <w:tc vyd:_id="vyd:0000000000009b">
          <w:tcPr>
            <w:shd w:val="clear" w:fill="F2F4F7"/>
            <w:tcMar>
              <w:top w:w="80" w:type="dxa"/>
              <w:start w:w="120" w:type="dxa"/>
              <w:bottom w:w="80" w:type="dxa"/>
              <w:end w:w="120" w:type="dxa"/>
            </w:tcMar>
            <w:vAlign w:val="center"/>
          </w:tcPr>
          <w:p vyd:_id="vyd:0000000000009c">
            <w:pPr>
              <w:spacing w:after="0"/>
              <w:jc w:val="start"/>
            </w:pPr>
            <w:r>
              <w:rPr>
                <w:b w:val="1"/>
              </w:rPr>
              <w:t vyd:_id="vyd:0000000000009d">Dataset</w:t>
            </w:r>
          </w:p>
        </w:tc>
        <w:tc vyd:_id="vyd:00000000000098">
          <w:tcPr>
            <w:shd w:val="clear" w:fill="F2F4F7"/>
            <w:tcMar>
              <w:top w:w="80" w:type="dxa"/>
              <w:start w:w="120" w:type="dxa"/>
              <w:bottom w:w="80" w:type="dxa"/>
              <w:end w:w="120" w:type="dxa"/>
            </w:tcMar>
            <w:vAlign w:val="center"/>
          </w:tcPr>
          <w:p vyd:_id="vyd:00000000000099">
            <w:pPr>
              <w:spacing w:after="0"/>
              <w:jc w:val="start"/>
            </w:pPr>
            <w:r>
              <w:rPr>
                <w:b w:val="1"/>
              </w:rPr>
              <w:t vyd:_id="vyd:0000000000009a">n</w:t>
            </w:r>
          </w:p>
        </w:tc>
        <w:tc vyd:_id="vyd:00000000000095">
          <w:tcPr>
            <w:shd w:val="clear" w:fill="F2F4F7"/>
            <w:tcMar>
              <w:top w:w="80" w:type="dxa"/>
              <w:start w:w="120" w:type="dxa"/>
              <w:bottom w:w="80" w:type="dxa"/>
              <w:end w:w="120" w:type="dxa"/>
            </w:tcMar>
            <w:vAlign w:val="center"/>
          </w:tcPr>
          <w:p vyd:_id="vyd:00000000000096">
            <w:pPr>
              <w:spacing w:after="0"/>
              <w:jc w:val="start"/>
            </w:pPr>
            <w:r>
              <w:rPr>
                <w:b w:val="1"/>
              </w:rPr>
              <w:t vyd:_id="vyd:00000000000097">Imaging modality / role</w:t>
            </w:r>
          </w:p>
        </w:tc>
        <w:tc vyd:_id="vyd:00000000000092">
          <w:tcPr>
            <w:shd w:val="clear" w:fill="F2F4F7"/>
            <w:tcMar>
              <w:top w:w="80" w:type="dxa"/>
              <w:start w:w="120" w:type="dxa"/>
              <w:bottom w:w="80" w:type="dxa"/>
              <w:end w:w="120" w:type="dxa"/>
            </w:tcMar>
            <w:vAlign w:val="center"/>
          </w:tcPr>
          <w:p vyd:_id="vyd:00000000000093">
            <w:pPr>
              <w:spacing w:after="0"/>
              <w:jc w:val="start"/>
            </w:pPr>
            <w:r>
              <w:rPr>
                <w:b w:val="1"/>
              </w:rPr>
              <w:t vyd:_id="vyd:00000000000094">Source / provenance</w:t>
            </w:r>
          </w:p>
        </w:tc>
        <w:tc vyd:_id="vyd:0000000000008z">
          <w:tcPr>
            <w:shd w:val="clear" w:fill="F2F4F7"/>
            <w:tcMar>
              <w:top w:w="80" w:type="dxa"/>
              <w:start w:w="120" w:type="dxa"/>
              <w:bottom w:w="80" w:type="dxa"/>
              <w:end w:w="120" w:type="dxa"/>
            </w:tcMar>
            <w:vAlign w:val="center"/>
          </w:tcPr>
          <w:p vyd:_id="vyd:00000000000090">
            <w:pPr>
              <w:spacing w:after="0"/>
              <w:jc w:val="start"/>
            </w:pPr>
            <w:r>
              <w:rPr>
                <w:b w:val="1"/>
              </w:rPr>
              <w:t vyd:_id="vyd:00000000000091">Comparator</w:t>
            </w:r>
          </w:p>
        </w:tc>
      </w:tr>
      <w:tr vyd:_id="vyd:0000000000008i">
        <w:tc vyd:_id="vyd:0000000000008v">
          <w:tcPr>
            <w:tcMar>
              <w:top w:w="80" w:type="dxa"/>
              <w:start w:w="120" w:type="dxa"/>
              <w:bottom w:w="80" w:type="dxa"/>
              <w:end w:w="120" w:type="dxa"/>
            </w:tcMar>
            <w:vAlign w:val="center"/>
          </w:tcPr>
          <w:p vyd:_id="vyd:0000000000008w">
            <w:pPr>
              <w:spacing w:after="0"/>
              <w:jc w:val="start"/>
            </w:pPr>
            <w:r>
              <w:t vyd:_id="vyd:0000000000008x">csma_sample_11</w:t>
            </w:r>
          </w:p>
        </w:tc>
        <w:tc vyd:_id="vyd:0000000000008s">
          <w:tcPr>
            <w:tcMar>
              <w:top w:w="80" w:type="dxa"/>
              <w:start w:w="120" w:type="dxa"/>
              <w:bottom w:w="80" w:type="dxa"/>
              <w:end w:w="120" w:type="dxa"/>
            </w:tcMar>
            <w:vAlign w:val="center"/>
          </w:tcPr>
          <w:p vyd:_id="vyd:0000000000008t">
            <w:pPr>
              <w:spacing w:after="0"/>
              <w:jc w:val="center"/>
            </w:pPr>
            <w:r>
              <w:t vyd:_id="vyd:0000000000008u">11</w:t>
            </w:r>
          </w:p>
        </w:tc>
        <w:tc vyd:_id="vyd:0000000000008p">
          <w:tcPr>
            <w:tcMar>
              <w:top w:w="80" w:type="dxa"/>
              <w:start w:w="120" w:type="dxa"/>
              <w:bottom w:w="80" w:type="dxa"/>
              <w:end w:w="120" w:type="dxa"/>
            </w:tcMar>
            <w:vAlign w:val="center"/>
          </w:tcPr>
          <w:p vyd:_id="vyd:0000000000008q">
            <w:pPr>
              <w:spacing w:after="0"/>
              <w:jc w:val="start"/>
            </w:pPr>
            <w:r>
              <w:t vyd:_id="vyd:0000000000008r">Brightfield; clean comparator time course</w:t>
            </w:r>
          </w:p>
        </w:tc>
        <w:tc vyd:_id="vyd:0000000000008m">
          <w:tcPr>
            <w:tcMar>
              <w:top w:w="80" w:type="dxa"/>
              <w:start w:w="120" w:type="dxa"/>
              <w:bottom w:w="80" w:type="dxa"/>
              <w:end w:w="120" w:type="dxa"/>
            </w:tcMar>
            <w:vAlign w:val="center"/>
          </w:tcPr>
          <w:p vyd:_id="vyd:0000000000008n">
            <w:pPr>
              <w:spacing w:after="0"/>
              <w:jc w:val="start"/>
            </w:pPr>
            <w:r>
              <w:t vyd:_id="vyd:0000000000008o">CSMA WoundHealing public sample data (Pham et al., 2025); SW480-ADH colon cancer cells, CytoSMART Omni, ×10</w:t>
            </w:r>
          </w:p>
        </w:tc>
        <w:tc vyd:_id="vyd:0000000000008j">
          <w:tcPr>
            <w:tcMar>
              <w:top w:w="80" w:type="dxa"/>
              <w:start w:w="120" w:type="dxa"/>
              <w:bottom w:w="80" w:type="dxa"/>
              <w:end w:w="120" w:type="dxa"/>
            </w:tcMar>
            <w:vAlign w:val="center"/>
          </w:tcPr>
          <w:p vyd:_id="vyd:0000000000008k">
            <w:pPr>
              <w:spacing w:after="0"/>
              <w:jc w:val="start"/>
            </w:pPr>
            <w:r>
              <w:t vyd:_id="vyd:0000000000008l">WHST + native CSMA</w:t>
            </w:r>
          </w:p>
        </w:tc>
      </w:tr>
      <w:tr vyd:_id="vyd:00000000000082">
        <w:tc vyd:_id="vyd:0000000000008f">
          <w:tcPr>
            <w:tcMar>
              <w:top w:w="80" w:type="dxa"/>
              <w:start w:w="120" w:type="dxa"/>
              <w:bottom w:w="80" w:type="dxa"/>
              <w:end w:w="120" w:type="dxa"/>
            </w:tcMar>
            <w:vAlign w:val="center"/>
          </w:tcPr>
          <w:p vyd:_id="vyd:0000000000008g">
            <w:pPr>
              <w:spacing w:after="0"/>
              <w:jc w:val="start"/>
            </w:pPr>
            <w:r>
              <w:t vyd:_id="vyd:0000000000008h">whad_mcf7_11</w:t>
            </w:r>
          </w:p>
        </w:tc>
        <w:tc vyd:_id="vyd:0000000000008c">
          <w:tcPr>
            <w:tcMar>
              <w:top w:w="80" w:type="dxa"/>
              <w:start w:w="120" w:type="dxa"/>
              <w:bottom w:w="80" w:type="dxa"/>
              <w:end w:w="120" w:type="dxa"/>
            </w:tcMar>
            <w:vAlign w:val="center"/>
          </w:tcPr>
          <w:p vyd:_id="vyd:0000000000008d">
            <w:pPr>
              <w:spacing w:after="0"/>
              <w:jc w:val="center"/>
            </w:pPr>
            <w:r>
              <w:t vyd:_id="vyd:0000000000008e">11</w:t>
            </w:r>
          </w:p>
        </w:tc>
        <w:tc vyd:_id="vyd:00000000000089">
          <w:tcPr>
            <w:tcMar>
              <w:top w:w="80" w:type="dxa"/>
              <w:start w:w="120" w:type="dxa"/>
              <w:bottom w:w="80" w:type="dxa"/>
              <w:end w:w="120" w:type="dxa"/>
            </w:tcMar>
            <w:vAlign w:val="center"/>
          </w:tcPr>
          <w:p vyd:_id="vyd:0000000000008a">
            <w:pPr>
              <w:spacing w:after="0"/>
              <w:jc w:val="start"/>
            </w:pPr>
            <w:r>
              <w:t vyd:_id="vyd:0000000000008b">Phase contrast; near-closure time course</w:t>
            </w:r>
          </w:p>
        </w:tc>
        <w:tc vyd:_id="vyd:00000000000086">
          <w:tcPr>
            <w:tcMar>
              <w:top w:w="80" w:type="dxa"/>
              <w:start w:w="120" w:type="dxa"/>
              <w:bottom w:w="80" w:type="dxa"/>
              <w:end w:w="120" w:type="dxa"/>
            </w:tcMar>
            <w:vAlign w:val="center"/>
          </w:tcPr>
          <w:p vyd:_id="vyd:00000000000087">
            <w:pPr>
              <w:spacing w:after="0"/>
              <w:jc w:val="start"/>
            </w:pPr>
            <w:r>
              <w:t vyd:_id="vyd:00000000000088">WHAD/CAMAD Zenodo dataset, CC BY 4.0 (Iheme et al., 2024); MCF-7 cells, Olympus Live Cell-R, 30 min intervals</w:t>
            </w:r>
          </w:p>
        </w:tc>
        <w:tc vyd:_id="vyd:00000000000083">
          <w:tcPr>
            <w:tcMar>
              <w:top w:w="80" w:type="dxa"/>
              <w:start w:w="120" w:type="dxa"/>
              <w:bottom w:w="80" w:type="dxa"/>
              <w:end w:w="120" w:type="dxa"/>
            </w:tcMar>
            <w:vAlign w:val="center"/>
          </w:tcPr>
          <w:p vyd:_id="vyd:00000000000084">
            <w:pPr>
              <w:spacing w:after="0"/>
              <w:jc w:val="start"/>
            </w:pPr>
            <w:r>
              <w:t vyd:_id="vyd:00000000000085">WHST</w:t>
            </w:r>
          </w:p>
        </w:tc>
      </w:tr>
      <w:tr vyd:_id="vyd:0000000000007m">
        <w:tc vyd:_id="vyd:0000000000007z">
          <w:tcPr>
            <w:tcMar>
              <w:top w:w="80" w:type="dxa"/>
              <w:start w:w="120" w:type="dxa"/>
              <w:bottom w:w="80" w:type="dxa"/>
              <w:end w:w="120" w:type="dxa"/>
            </w:tcMar>
            <w:vAlign w:val="center"/>
          </w:tcPr>
          <w:p vyd:_id="vyd:00000000000080">
            <w:pPr>
              <w:spacing w:after="0"/>
              <w:jc w:val="start"/>
            </w:pPr>
            <w:r>
              <w:t vyd:_id="vyd:00000000000081">cell_phone_HK</w:t>
            </w:r>
          </w:p>
        </w:tc>
        <w:tc vyd:_id="vyd:0000000000007w">
          <w:tcPr>
            <w:tcMar>
              <w:top w:w="80" w:type="dxa"/>
              <w:start w:w="120" w:type="dxa"/>
              <w:bottom w:w="80" w:type="dxa"/>
              <w:end w:w="120" w:type="dxa"/>
            </w:tcMar>
            <w:vAlign w:val="center"/>
          </w:tcPr>
          <w:p vyd:_id="vyd:0000000000007x">
            <w:pPr>
              <w:spacing w:after="0"/>
              <w:jc w:val="center"/>
            </w:pPr>
            <w:r>
              <w:t vyd:_id="vyd:0000000000007y">3</w:t>
            </w:r>
          </w:p>
        </w:tc>
        <w:tc vyd:_id="vyd:0000000000007t">
          <w:tcPr>
            <w:tcMar>
              <w:top w:w="80" w:type="dxa"/>
              <w:start w:w="120" w:type="dxa"/>
              <w:bottom w:w="80" w:type="dxa"/>
              <w:end w:w="120" w:type="dxa"/>
            </w:tcMar>
            <w:vAlign w:val="center"/>
          </w:tcPr>
          <w:p vyd:_id="vyd:0000000000007u">
            <w:pPr>
              <w:spacing w:after="0"/>
              <w:jc w:val="start"/>
            </w:pPr>
            <w:r>
              <w:t vyd:_id="vyd:0000000000007v">Brightfield smartphone-through-eyepiece; external support</w:t>
            </w:r>
          </w:p>
        </w:tc>
        <w:tc vyd:_id="vyd:0000000000007q">
          <w:tcPr>
            <w:tcMar>
              <w:top w:w="80" w:type="dxa"/>
              <w:start w:w="120" w:type="dxa"/>
              <w:bottom w:w="80" w:type="dxa"/>
              <w:end w:w="120" w:type="dxa"/>
            </w:tcMar>
            <w:vAlign w:val="center"/>
          </w:tcPr>
          <w:p vyd:_id="vyd:0000000000007r">
            <w:pPr>
              <w:spacing w:after="0"/>
              <w:jc w:val="start"/>
            </w:pPr>
            <w:r>
              <w:t vyd:_id="vyd:0000000000007s">HUVEC control; ×10 objective; 0/24/48 h; Düzgün et al. 2024</w:t>
            </w:r>
          </w:p>
        </w:tc>
        <w:tc vyd:_id="vyd:0000000000007n">
          <w:tcPr>
            <w:tcMar>
              <w:top w:w="80" w:type="dxa"/>
              <w:start w:w="120" w:type="dxa"/>
              <w:bottom w:w="80" w:type="dxa"/>
              <w:end w:w="120" w:type="dxa"/>
            </w:tcMar>
            <w:vAlign w:val="center"/>
          </w:tcPr>
          <w:p vyd:_id="vyd:0000000000007o">
            <w:pPr>
              <w:spacing w:after="0"/>
              <w:jc w:val="start"/>
            </w:pPr>
            <w:r>
              <w:t vyd:_id="vyd:0000000000007p">WHST</w:t>
            </w:r>
          </w:p>
        </w:tc>
      </w:tr>
      <w:tr vyd:_id="vyd:00000000000076">
        <w:tc vyd:_id="vyd:0000000000007j">
          <w:tcPr>
            <w:tcMar>
              <w:top w:w="80" w:type="dxa"/>
              <w:start w:w="120" w:type="dxa"/>
              <w:bottom w:w="80" w:type="dxa"/>
              <w:end w:w="120" w:type="dxa"/>
            </w:tcMar>
            <w:vAlign w:val="center"/>
          </w:tcPr>
          <w:p vyd:_id="vyd:0000000000007k">
            <w:pPr>
              <w:spacing w:after="0"/>
              <w:jc w:val="start"/>
            </w:pPr>
            <w:r>
              <w:t vyd:_id="vyd:0000000000007l">cell_phone_M8F</w:t>
            </w:r>
          </w:p>
        </w:tc>
        <w:tc vyd:_id="vyd:0000000000007g">
          <w:tcPr>
            <w:tcMar>
              <w:top w:w="80" w:type="dxa"/>
              <w:start w:w="120" w:type="dxa"/>
              <w:bottom w:w="80" w:type="dxa"/>
              <w:end w:w="120" w:type="dxa"/>
            </w:tcMar>
            <w:vAlign w:val="center"/>
          </w:tcPr>
          <w:p vyd:_id="vyd:0000000000007h">
            <w:pPr>
              <w:spacing w:after="0"/>
              <w:jc w:val="center"/>
            </w:pPr>
            <w:r>
              <w:t vyd:_id="vyd:0000000000007i">3</w:t>
            </w:r>
          </w:p>
        </w:tc>
        <w:tc vyd:_id="vyd:0000000000007d">
          <w:tcPr>
            <w:tcMar>
              <w:top w:w="80" w:type="dxa"/>
              <w:start w:w="120" w:type="dxa"/>
              <w:bottom w:w="80" w:type="dxa"/>
              <w:end w:w="120" w:type="dxa"/>
            </w:tcMar>
            <w:vAlign w:val="center"/>
          </w:tcPr>
          <w:p vyd:_id="vyd:0000000000007e">
            <w:pPr>
              <w:spacing w:after="0"/>
              <w:jc w:val="start"/>
            </w:pPr>
            <w:r>
              <w:t vyd:_id="vyd:0000000000007f">Brightfield smartphone-through-eyepiece; support / stress</w:t>
            </w:r>
          </w:p>
        </w:tc>
        <w:tc vyd:_id="vyd:0000000000007a">
          <w:tcPr>
            <w:tcMar>
              <w:top w:w="80" w:type="dxa"/>
              <w:start w:w="120" w:type="dxa"/>
              <w:bottom w:w="80" w:type="dxa"/>
              <w:end w:w="120" w:type="dxa"/>
            </w:tcMar>
            <w:vAlign w:val="center"/>
          </w:tcPr>
          <w:p vyd:_id="vyd:0000000000007b">
            <w:pPr>
              <w:spacing w:after="0"/>
              <w:jc w:val="start"/>
            </w:pPr>
            <w:r>
              <w:t vyd:_id="vyd:0000000000007c">MDA-MB-231 + 8 µM FDI-6; ×10 objective; 0/24/48 h; Düzgün et al. 2024</w:t>
            </w:r>
          </w:p>
        </w:tc>
        <w:tc vyd:_id="vyd:00000000000077">
          <w:tcPr>
            <w:tcMar>
              <w:top w:w="80" w:type="dxa"/>
              <w:start w:w="120" w:type="dxa"/>
              <w:bottom w:w="80" w:type="dxa"/>
              <w:end w:w="120" w:type="dxa"/>
            </w:tcMar>
            <w:vAlign w:val="center"/>
          </w:tcPr>
          <w:p vyd:_id="vyd:00000000000078">
            <w:pPr>
              <w:spacing w:after="0"/>
              <w:jc w:val="start"/>
            </w:pPr>
            <w:r>
              <w:t vyd:_id="vyd:00000000000079">WHST</w:t>
            </w:r>
          </w:p>
        </w:tc>
      </w:tr>
      <w:tr vyd:_id="vyd:0000000000006q">
        <w:tc vyd:_id="vyd:00000000000073">
          <w:tcPr>
            <w:tcMar>
              <w:top w:w="80" w:type="dxa"/>
              <w:start w:w="120" w:type="dxa"/>
              <w:bottom w:w="80" w:type="dxa"/>
              <w:end w:w="120" w:type="dxa"/>
            </w:tcMar>
            <w:vAlign w:val="center"/>
          </w:tcPr>
          <w:p vyd:_id="vyd:00000000000074">
            <w:pPr>
              <w:spacing w:after="0"/>
              <w:jc w:val="start"/>
            </w:pPr>
            <w:r>
              <w:t vyd:_id="vyd:00000000000075">cell_phone_MK</w:t>
            </w:r>
          </w:p>
        </w:tc>
        <w:tc vyd:_id="vyd:00000000000070">
          <w:tcPr>
            <w:tcMar>
              <w:top w:w="80" w:type="dxa"/>
              <w:start w:w="120" w:type="dxa"/>
              <w:bottom w:w="80" w:type="dxa"/>
              <w:end w:w="120" w:type="dxa"/>
            </w:tcMar>
            <w:vAlign w:val="center"/>
          </w:tcPr>
          <w:p vyd:_id="vyd:00000000000071">
            <w:pPr>
              <w:spacing w:after="0"/>
              <w:jc w:val="center"/>
            </w:pPr>
            <w:r>
              <w:t vyd:_id="vyd:00000000000072">3</w:t>
            </w:r>
          </w:p>
        </w:tc>
        <w:tc vyd:_id="vyd:0000000000006x">
          <w:tcPr>
            <w:tcMar>
              <w:top w:w="80" w:type="dxa"/>
              <w:start w:w="120" w:type="dxa"/>
              <w:bottom w:w="80" w:type="dxa"/>
              <w:end w:w="120" w:type="dxa"/>
            </w:tcMar>
            <w:vAlign w:val="center"/>
          </w:tcPr>
          <w:p vyd:_id="vyd:0000000000006y">
            <w:pPr>
              <w:spacing w:after="0"/>
              <w:jc w:val="start"/>
            </w:pPr>
            <w:r>
              <w:t vyd:_id="vyd:0000000000006z">Brightfield smartphone-through-eyepiece; stress / limitation</w:t>
            </w:r>
          </w:p>
        </w:tc>
        <w:tc vyd:_id="vyd:0000000000006u">
          <w:tcPr>
            <w:tcMar>
              <w:top w:w="80" w:type="dxa"/>
              <w:start w:w="120" w:type="dxa"/>
              <w:bottom w:w="80" w:type="dxa"/>
              <w:end w:w="120" w:type="dxa"/>
            </w:tcMar>
            <w:vAlign w:val="center"/>
          </w:tcPr>
          <w:p vyd:_id="vyd:0000000000006v">
            <w:pPr>
              <w:spacing w:after="0"/>
              <w:jc w:val="start"/>
            </w:pPr>
            <w:r>
              <w:t vyd:_id="vyd:0000000000006w">MDA-MB-231 control; ×10 objective; 0/24/48 h; Düzgün et al. 2024</w:t>
            </w:r>
          </w:p>
        </w:tc>
        <w:tc vyd:_id="vyd:0000000000006r">
          <w:tcPr>
            <w:tcMar>
              <w:top w:w="80" w:type="dxa"/>
              <w:start w:w="120" w:type="dxa"/>
              <w:bottom w:w="80" w:type="dxa"/>
              <w:end w:w="120" w:type="dxa"/>
            </w:tcMar>
            <w:vAlign w:val="center"/>
          </w:tcPr>
          <w:p vyd:_id="vyd:0000000000006s">
            <w:pPr>
              <w:spacing w:after="0"/>
              <w:jc w:val="start"/>
            </w:pPr>
            <w:r>
              <w:t vyd:_id="vyd:0000000000006t">WHST</w:t>
            </w:r>
          </w:p>
        </w:tc>
      </w:tr>
    </w:tbl>
    <w:p vyd:_id="vyd:0000000000006o"/>
    <w:p vyd:_id="vyd:0000000000006l">
      <w:r>
        <w:rPr>
          <w:b w:val="1"/>
        </w:rPr>
        <w:t vyd:_id="vyd:0000000000006n">Table 3. Preliminary Cytomove-versus-WHST agreement summary.</w:t>
      </w:r>
      <w:r>
        <w:t vyd:_id="vyd:0000000000006m" xml:space="preserve"> Area and width are reported as mean absolute percentage error (MAPE), median absolute percentage error, maximum absolute percentage error, mean signed percentage error, and Pearson trend correlation (r).</w:t>
      </w:r>
    </w:p>
    <w:tbl vyd:_id="vyd:0000000000001e">
      <w:tblPr>
        <w:tblStyle w:val="TableGrid"/>
        <w:tblW w:w="9360" w:type="dxa"/>
        <w:jc w:val="center"/>
        <w:tblLook w:firstRow="1" w:lastRow="0" w:firstColumn="1" w:lastColumn="0" w:noHBand="0" w:noVBand="1" w:val="07c5"/>
      </w:tblPr>
      <w:tblGrid>
        <w:gridCol w:w="936"/>
        <w:gridCol w:w="936"/>
        <w:gridCol w:w="936"/>
        <w:gridCol w:w="936"/>
        <w:gridCol w:w="936"/>
        <w:gridCol w:w="936"/>
        <w:gridCol w:w="936"/>
        <w:gridCol w:w="936"/>
        <w:gridCol w:w="936"/>
        <w:gridCol w:w="936"/>
      </w:tblGrid>
      <w:tr vyd:_id="vyd:0000000000005q">
        <w:tc vyd:_id="vyd:0000000000006i">
          <w:tcPr>
            <w:shd w:val="clear" w:fill="F2F4F7"/>
            <w:tcMar>
              <w:top w:w="80" w:type="dxa"/>
              <w:start w:w="120" w:type="dxa"/>
              <w:bottom w:w="80" w:type="dxa"/>
              <w:end w:w="120" w:type="dxa"/>
            </w:tcMar>
            <w:vAlign w:val="center"/>
          </w:tcPr>
          <w:p vyd:_id="vyd:0000000000006j">
            <w:pPr>
              <w:spacing w:after="0"/>
              <w:jc w:val="start"/>
            </w:pPr>
            <w:r>
              <w:rPr>
                <w:b w:val="1"/>
              </w:rPr>
              <w:t vyd:_id="vyd:0000000000006k">Dataset</w:t>
            </w:r>
          </w:p>
        </w:tc>
        <w:tc vyd:_id="vyd:0000000000006f">
          <w:tcPr>
            <w:shd w:val="clear" w:fill="F2F4F7"/>
            <w:tcMar>
              <w:top w:w="80" w:type="dxa"/>
              <w:start w:w="120" w:type="dxa"/>
              <w:bottom w:w="80" w:type="dxa"/>
              <w:end w:w="120" w:type="dxa"/>
            </w:tcMar>
            <w:vAlign w:val="center"/>
          </w:tcPr>
          <w:p vyd:_id="vyd:0000000000006g">
            <w:pPr>
              <w:spacing w:after="0"/>
              <w:jc w:val="start"/>
            </w:pPr>
            <w:r>
              <w:rPr>
                <w:b w:val="1"/>
              </w:rPr>
              <w:t vyd:_id="vyd:0000000000006h">n</w:t>
            </w:r>
          </w:p>
        </w:tc>
        <w:tc vyd:_id="vyd:0000000000006c">
          <w:tcPr>
            <w:shd w:val="clear" w:fill="F2F4F7"/>
            <w:tcMar>
              <w:top w:w="80" w:type="dxa"/>
              <w:start w:w="120" w:type="dxa"/>
              <w:bottom w:w="80" w:type="dxa"/>
              <w:end w:w="120" w:type="dxa"/>
            </w:tcMar>
            <w:vAlign w:val="center"/>
          </w:tcPr>
          <w:p vyd:_id="vyd:0000000000006d">
            <w:pPr>
              <w:spacing w:after="0"/>
              <w:jc w:val="start"/>
            </w:pPr>
            <w:r>
              <w:rPr>
                <w:b w:val="1"/>
              </w:rPr>
              <w:t vyd:_id="vyd:0000000000006e">Area MAPE %</w:t>
            </w:r>
          </w:p>
        </w:tc>
        <w:tc vyd:_id="vyd:00000000000069">
          <w:tcPr>
            <w:shd w:val="clear" w:fill="F2F4F7"/>
            <w:tcMar>
              <w:top w:w="80" w:type="dxa"/>
              <w:start w:w="120" w:type="dxa"/>
              <w:bottom w:w="80" w:type="dxa"/>
              <w:end w:w="120" w:type="dxa"/>
            </w:tcMar>
            <w:vAlign w:val="center"/>
          </w:tcPr>
          <w:p vyd:_id="vyd:0000000000006a">
            <w:pPr>
              <w:spacing w:after="0"/>
              <w:jc w:val="start"/>
            </w:pPr>
            <w:r>
              <w:rPr>
                <w:b w:val="1"/>
              </w:rPr>
              <w:t vyd:_id="vyd:0000000000006b">Area median %</w:t>
            </w:r>
          </w:p>
        </w:tc>
        <w:tc vyd:_id="vyd:00000000000066">
          <w:tcPr>
            <w:shd w:val="clear" w:fill="F2F4F7"/>
            <w:tcMar>
              <w:top w:w="80" w:type="dxa"/>
              <w:start w:w="120" w:type="dxa"/>
              <w:bottom w:w="80" w:type="dxa"/>
              <w:end w:w="120" w:type="dxa"/>
            </w:tcMar>
            <w:vAlign w:val="center"/>
          </w:tcPr>
          <w:p vyd:_id="vyd:00000000000067">
            <w:pPr>
              <w:spacing w:after="0"/>
              <w:jc w:val="start"/>
            </w:pPr>
            <w:r>
              <w:rPr>
                <w:b w:val="1"/>
              </w:rPr>
              <w:t vyd:_id="vyd:00000000000068">Area max %</w:t>
            </w:r>
          </w:p>
        </w:tc>
        <w:tc vyd:_id="vyd:00000000000063">
          <w:tcPr>
            <w:shd w:val="clear" w:fill="F2F4F7"/>
            <w:tcMar>
              <w:top w:w="80" w:type="dxa"/>
              <w:start w:w="120" w:type="dxa"/>
              <w:bottom w:w="80" w:type="dxa"/>
              <w:end w:w="120" w:type="dxa"/>
            </w:tcMar>
            <w:vAlign w:val="center"/>
          </w:tcPr>
          <w:p vyd:_id="vyd:00000000000064">
            <w:pPr>
              <w:spacing w:after="0"/>
              <w:jc w:val="start"/>
            </w:pPr>
            <w:r>
              <w:rPr>
                <w:b w:val="1"/>
              </w:rPr>
              <w:t vyd:_id="vyd:00000000000065">Area signed %</w:t>
            </w:r>
          </w:p>
        </w:tc>
        <w:tc vyd:_id="vyd:00000000000060">
          <w:tcPr>
            <w:shd w:val="clear" w:fill="F2F4F7"/>
            <w:tcMar>
              <w:top w:w="80" w:type="dxa"/>
              <w:start w:w="120" w:type="dxa"/>
              <w:bottom w:w="80" w:type="dxa"/>
              <w:end w:w="120" w:type="dxa"/>
            </w:tcMar>
            <w:vAlign w:val="center"/>
          </w:tcPr>
          <w:p vyd:_id="vyd:00000000000061">
            <w:pPr>
              <w:spacing w:after="0"/>
              <w:jc w:val="start"/>
            </w:pPr>
            <w:r>
              <w:rPr>
                <w:b w:val="1"/>
              </w:rPr>
              <w:t vyd:_id="vyd:00000000000062">Area r</w:t>
            </w:r>
          </w:p>
        </w:tc>
        <w:tc vyd:_id="vyd:0000000000005x">
          <w:tcPr>
            <w:shd w:val="clear" w:fill="F2F4F7"/>
            <w:tcMar>
              <w:top w:w="80" w:type="dxa"/>
              <w:start w:w="120" w:type="dxa"/>
              <w:bottom w:w="80" w:type="dxa"/>
              <w:end w:w="120" w:type="dxa"/>
            </w:tcMar>
            <w:vAlign w:val="center"/>
          </w:tcPr>
          <w:p vyd:_id="vyd:0000000000005y">
            <w:pPr>
              <w:spacing w:after="0"/>
              <w:jc w:val="start"/>
            </w:pPr>
            <w:r>
              <w:rPr>
                <w:b w:val="1"/>
              </w:rPr>
              <w:t vyd:_id="vyd:0000000000005z">Width MAPE %</w:t>
            </w:r>
          </w:p>
        </w:tc>
        <w:tc vyd:_id="vyd:0000000000005u">
          <w:tcPr>
            <w:shd w:val="clear" w:fill="F2F4F7"/>
            <w:tcMar>
              <w:top w:w="80" w:type="dxa"/>
              <w:start w:w="120" w:type="dxa"/>
              <w:bottom w:w="80" w:type="dxa"/>
              <w:end w:w="120" w:type="dxa"/>
            </w:tcMar>
            <w:vAlign w:val="center"/>
          </w:tcPr>
          <w:p vyd:_id="vyd:0000000000005v">
            <w:pPr>
              <w:spacing w:after="0"/>
              <w:jc w:val="start"/>
            </w:pPr>
            <w:r>
              <w:rPr>
                <w:b w:val="1"/>
              </w:rPr>
              <w:t vyd:_id="vyd:0000000000005w">Width r</w:t>
            </w:r>
          </w:p>
        </w:tc>
        <w:tc vyd:_id="vyd:0000000000005r">
          <w:tcPr>
            <w:shd w:val="clear" w:fill="F2F4F7"/>
            <w:tcMar>
              <w:top w:w="80" w:type="dxa"/>
              <w:start w:w="120" w:type="dxa"/>
              <w:bottom w:w="80" w:type="dxa"/>
              <w:end w:w="120" w:type="dxa"/>
            </w:tcMar>
            <w:vAlign w:val="center"/>
          </w:tcPr>
          <w:p vyd:_id="vyd:0000000000005s">
            <w:pPr>
              <w:spacing w:after="0"/>
              <w:jc w:val="start"/>
            </w:pPr>
            <w:r>
              <w:rPr>
                <w:b w:val="1"/>
              </w:rPr>
              <w:t vyd:_id="vyd:0000000000005t">Interpretation</w:t>
            </w:r>
          </w:p>
        </w:tc>
      </w:tr>
      <w:tr vyd:_id="vyd:0000000000004v">
        <w:tc vyd:_id="vyd:0000000000005n">
          <w:tcPr>
            <w:tcMar>
              <w:top w:w="80" w:type="dxa"/>
              <w:start w:w="120" w:type="dxa"/>
              <w:bottom w:w="80" w:type="dxa"/>
              <w:end w:w="120" w:type="dxa"/>
            </w:tcMar>
            <w:vAlign w:val="center"/>
          </w:tcPr>
          <w:p vyd:_id="vyd:0000000000005o">
            <w:pPr>
              <w:spacing w:after="0"/>
              <w:jc w:val="start"/>
            </w:pPr>
            <w:r>
              <w:t vyd:_id="vyd:0000000000005p">csma_sample_11</w:t>
            </w:r>
          </w:p>
        </w:tc>
        <w:tc vyd:_id="vyd:0000000000005k">
          <w:tcPr>
            <w:tcMar>
              <w:top w:w="80" w:type="dxa"/>
              <w:start w:w="120" w:type="dxa"/>
              <w:bottom w:w="80" w:type="dxa"/>
              <w:end w:w="120" w:type="dxa"/>
            </w:tcMar>
            <w:vAlign w:val="center"/>
          </w:tcPr>
          <w:p vyd:_id="vyd:0000000000005l">
            <w:pPr>
              <w:spacing w:after="0"/>
              <w:jc w:val="center"/>
            </w:pPr>
            <w:r>
              <w:t vyd:_id="vyd:0000000000005m">11</w:t>
            </w:r>
          </w:p>
        </w:tc>
        <w:tc vyd:_id="vyd:0000000000005h">
          <w:tcPr>
            <w:tcMar>
              <w:top w:w="80" w:type="dxa"/>
              <w:start w:w="120" w:type="dxa"/>
              <w:bottom w:w="80" w:type="dxa"/>
              <w:end w:w="120" w:type="dxa"/>
            </w:tcMar>
            <w:vAlign w:val="center"/>
          </w:tcPr>
          <w:p vyd:_id="vyd:0000000000005i">
            <w:pPr>
              <w:spacing w:after="0"/>
              <w:jc w:val="center"/>
            </w:pPr>
            <w:r>
              <w:t vyd:_id="vyd:0000000000005j">4.1</w:t>
            </w:r>
          </w:p>
        </w:tc>
        <w:tc vyd:_id="vyd:0000000000005e">
          <w:tcPr>
            <w:tcMar>
              <w:top w:w="80" w:type="dxa"/>
              <w:start w:w="120" w:type="dxa"/>
              <w:bottom w:w="80" w:type="dxa"/>
              <w:end w:w="120" w:type="dxa"/>
            </w:tcMar>
            <w:vAlign w:val="center"/>
          </w:tcPr>
          <w:p vyd:_id="vyd:0000000000005f">
            <w:pPr>
              <w:spacing w:after="0"/>
              <w:jc w:val="center"/>
            </w:pPr>
            <w:r>
              <w:t vyd:_id="vyd:0000000000005g">3.9</w:t>
            </w:r>
          </w:p>
        </w:tc>
        <w:tc vyd:_id="vyd:0000000000005b">
          <w:tcPr>
            <w:tcMar>
              <w:top w:w="80" w:type="dxa"/>
              <w:start w:w="120" w:type="dxa"/>
              <w:bottom w:w="80" w:type="dxa"/>
              <w:end w:w="120" w:type="dxa"/>
            </w:tcMar>
            <w:vAlign w:val="center"/>
          </w:tcPr>
          <w:p vyd:_id="vyd:0000000000005c">
            <w:pPr>
              <w:spacing w:after="0"/>
              <w:jc w:val="center"/>
            </w:pPr>
            <w:r>
              <w:t vyd:_id="vyd:0000000000005d">7.9</w:t>
            </w:r>
          </w:p>
        </w:tc>
        <w:tc vyd:_id="vyd:00000000000058">
          <w:tcPr>
            <w:tcMar>
              <w:top w:w="80" w:type="dxa"/>
              <w:start w:w="120" w:type="dxa"/>
              <w:bottom w:w="80" w:type="dxa"/>
              <w:end w:w="120" w:type="dxa"/>
            </w:tcMar>
            <w:vAlign w:val="center"/>
          </w:tcPr>
          <w:p vyd:_id="vyd:00000000000059">
            <w:pPr>
              <w:spacing w:after="0"/>
              <w:jc w:val="start"/>
            </w:pPr>
            <w:r>
              <w:t vyd:_id="vyd:0000000000005a">−2.7</w:t>
            </w:r>
          </w:p>
        </w:tc>
        <w:tc vyd:_id="vyd:00000000000055">
          <w:tcPr>
            <w:tcMar>
              <w:top w:w="80" w:type="dxa"/>
              <w:start w:w="120" w:type="dxa"/>
              <w:bottom w:w="80" w:type="dxa"/>
              <w:end w:w="120" w:type="dxa"/>
            </w:tcMar>
            <w:vAlign w:val="center"/>
          </w:tcPr>
          <w:p vyd:_id="vyd:00000000000056">
            <w:pPr>
              <w:spacing w:after="0"/>
              <w:jc w:val="center"/>
            </w:pPr>
            <w:r>
              <w:t vyd:_id="vyd:00000000000057">0.9975</w:t>
            </w:r>
          </w:p>
        </w:tc>
        <w:tc vyd:_id="vyd:00000000000052">
          <w:tcPr>
            <w:tcMar>
              <w:top w:w="80" w:type="dxa"/>
              <w:start w:w="120" w:type="dxa"/>
              <w:bottom w:w="80" w:type="dxa"/>
              <w:end w:w="120" w:type="dxa"/>
            </w:tcMar>
            <w:vAlign w:val="center"/>
          </w:tcPr>
          <w:p vyd:_id="vyd:00000000000053">
            <w:pPr>
              <w:spacing w:after="0"/>
              <w:jc w:val="center"/>
            </w:pPr>
            <w:r>
              <w:t vyd:_id="vyd:00000000000054">9.7</w:t>
            </w:r>
          </w:p>
        </w:tc>
        <w:tc vyd:_id="vyd:0000000000004z">
          <w:tcPr>
            <w:tcMar>
              <w:top w:w="80" w:type="dxa"/>
              <w:start w:w="120" w:type="dxa"/>
              <w:bottom w:w="80" w:type="dxa"/>
              <w:end w:w="120" w:type="dxa"/>
            </w:tcMar>
            <w:vAlign w:val="center"/>
          </w:tcPr>
          <w:p vyd:_id="vyd:00000000000050">
            <w:pPr>
              <w:spacing w:after="0"/>
              <w:jc w:val="center"/>
            </w:pPr>
            <w:r>
              <w:t vyd:_id="vyd:00000000000051">0.9969</w:t>
            </w:r>
          </w:p>
        </w:tc>
        <w:tc vyd:_id="vyd:0000000000004w">
          <w:tcPr>
            <w:tcMar>
              <w:top w:w="80" w:type="dxa"/>
              <w:start w:w="120" w:type="dxa"/>
              <w:bottom w:w="80" w:type="dxa"/>
              <w:end w:w="120" w:type="dxa"/>
            </w:tcMar>
            <w:vAlign w:val="center"/>
          </w:tcPr>
          <w:p vyd:_id="vyd:0000000000004x">
            <w:pPr>
              <w:spacing w:after="0"/>
              <w:jc w:val="start"/>
            </w:pPr>
            <w:r>
              <w:t vyd:_id="vyd:0000000000004y">Primary clean comparator; visually concordant overlays</w:t>
            </w:r>
          </w:p>
        </w:tc>
      </w:tr>
      <w:tr vyd:_id="vyd:00000000000040">
        <w:tc vyd:_id="vyd:0000000000004s">
          <w:tcPr>
            <w:tcMar>
              <w:top w:w="80" w:type="dxa"/>
              <w:start w:w="120" w:type="dxa"/>
              <w:bottom w:w="80" w:type="dxa"/>
              <w:end w:w="120" w:type="dxa"/>
            </w:tcMar>
            <w:vAlign w:val="center"/>
          </w:tcPr>
          <w:p vyd:_id="vyd:0000000000004t">
            <w:pPr>
              <w:spacing w:after="0"/>
              <w:jc w:val="start"/>
            </w:pPr>
            <w:r>
              <w:t vyd:_id="vyd:0000000000004u">whad_mcf7_11</w:t>
            </w:r>
          </w:p>
        </w:tc>
        <w:tc vyd:_id="vyd:0000000000004p">
          <w:tcPr>
            <w:tcMar>
              <w:top w:w="80" w:type="dxa"/>
              <w:start w:w="120" w:type="dxa"/>
              <w:bottom w:w="80" w:type="dxa"/>
              <w:end w:w="120" w:type="dxa"/>
            </w:tcMar>
            <w:vAlign w:val="center"/>
          </w:tcPr>
          <w:p vyd:_id="vyd:0000000000004q">
            <w:pPr>
              <w:spacing w:after="0"/>
              <w:jc w:val="center"/>
            </w:pPr>
            <w:r>
              <w:t vyd:_id="vyd:0000000000004r">11</w:t>
            </w:r>
          </w:p>
        </w:tc>
        <w:tc vyd:_id="vyd:0000000000004m">
          <w:tcPr>
            <w:tcMar>
              <w:top w:w="80" w:type="dxa"/>
              <w:start w:w="120" w:type="dxa"/>
              <w:bottom w:w="80" w:type="dxa"/>
              <w:end w:w="120" w:type="dxa"/>
            </w:tcMar>
            <w:vAlign w:val="center"/>
          </w:tcPr>
          <w:p vyd:_id="vyd:0000000000004n">
            <w:pPr>
              <w:spacing w:after="0"/>
              <w:jc w:val="center"/>
            </w:pPr>
            <w:r>
              <w:t vyd:_id="vyd:0000000000004o">15.0</w:t>
            </w:r>
          </w:p>
        </w:tc>
        <w:tc vyd:_id="vyd:0000000000004j">
          <w:tcPr>
            <w:tcMar>
              <w:top w:w="80" w:type="dxa"/>
              <w:start w:w="120" w:type="dxa"/>
              <w:bottom w:w="80" w:type="dxa"/>
              <w:end w:w="120" w:type="dxa"/>
            </w:tcMar>
            <w:vAlign w:val="center"/>
          </w:tcPr>
          <w:p vyd:_id="vyd:0000000000004k">
            <w:pPr>
              <w:spacing w:after="0"/>
              <w:jc w:val="center"/>
            </w:pPr>
            <w:r>
              <w:t vyd:_id="vyd:0000000000004l">6.6</w:t>
            </w:r>
          </w:p>
        </w:tc>
        <w:tc vyd:_id="vyd:0000000000004g">
          <w:tcPr>
            <w:tcMar>
              <w:top w:w="80" w:type="dxa"/>
              <w:start w:w="120" w:type="dxa"/>
              <w:bottom w:w="80" w:type="dxa"/>
              <w:end w:w="120" w:type="dxa"/>
            </w:tcMar>
            <w:vAlign w:val="center"/>
          </w:tcPr>
          <w:p vyd:_id="vyd:0000000000004h">
            <w:pPr>
              <w:spacing w:after="0"/>
              <w:jc w:val="center"/>
            </w:pPr>
            <w:r>
              <w:t vyd:_id="vyd:0000000000004i">82.5</w:t>
            </w:r>
          </w:p>
        </w:tc>
        <w:tc vyd:_id="vyd:0000000000004d">
          <w:tcPr>
            <w:tcMar>
              <w:top w:w="80" w:type="dxa"/>
              <w:start w:w="120" w:type="dxa"/>
              <w:bottom w:w="80" w:type="dxa"/>
              <w:end w:w="120" w:type="dxa"/>
            </w:tcMar>
            <w:vAlign w:val="center"/>
          </w:tcPr>
          <w:p vyd:_id="vyd:0000000000004e">
            <w:pPr>
              <w:spacing w:after="0"/>
              <w:jc w:val="center"/>
            </w:pPr>
            <w:r>
              <w:t vyd:_id="vyd:0000000000004f">+2.2</w:t>
            </w:r>
          </w:p>
        </w:tc>
        <w:tc vyd:_id="vyd:0000000000004a">
          <w:tcPr>
            <w:tcMar>
              <w:top w:w="80" w:type="dxa"/>
              <w:start w:w="120" w:type="dxa"/>
              <w:bottom w:w="80" w:type="dxa"/>
              <w:end w:w="120" w:type="dxa"/>
            </w:tcMar>
            <w:vAlign w:val="center"/>
          </w:tcPr>
          <w:p vyd:_id="vyd:0000000000004b">
            <w:pPr>
              <w:spacing w:after="0"/>
              <w:jc w:val="center"/>
            </w:pPr>
            <w:r>
              <w:t vyd:_id="vyd:0000000000004c">0.9984</w:t>
            </w:r>
          </w:p>
        </w:tc>
        <w:tc vyd:_id="vyd:00000000000047">
          <w:tcPr>
            <w:tcMar>
              <w:top w:w="80" w:type="dxa"/>
              <w:start w:w="120" w:type="dxa"/>
              <w:bottom w:w="80" w:type="dxa"/>
              <w:end w:w="120" w:type="dxa"/>
            </w:tcMar>
            <w:vAlign w:val="center"/>
          </w:tcPr>
          <w:p vyd:_id="vyd:00000000000048">
            <w:pPr>
              <w:spacing w:after="0"/>
              <w:jc w:val="center"/>
            </w:pPr>
            <w:r>
              <w:t vyd:_id="vyd:00000000000049">9.0</w:t>
            </w:r>
          </w:p>
        </w:tc>
        <w:tc vyd:_id="vyd:00000000000044">
          <w:tcPr>
            <w:tcMar>
              <w:top w:w="80" w:type="dxa"/>
              <w:start w:w="120" w:type="dxa"/>
              <w:bottom w:w="80" w:type="dxa"/>
              <w:end w:w="120" w:type="dxa"/>
            </w:tcMar>
            <w:vAlign w:val="center"/>
          </w:tcPr>
          <w:p vyd:_id="vyd:00000000000045">
            <w:pPr>
              <w:spacing w:after="0"/>
              <w:jc w:val="center"/>
            </w:pPr>
            <w:r>
              <w:t vyd:_id="vyd:00000000000046">0.9986</w:t>
            </w:r>
          </w:p>
        </w:tc>
        <w:tc vyd:_id="vyd:00000000000041">
          <w:tcPr>
            <w:tcMar>
              <w:top w:w="80" w:type="dxa"/>
              <w:start w:w="120" w:type="dxa"/>
              <w:bottom w:w="80" w:type="dxa"/>
              <w:end w:w="120" w:type="dxa"/>
            </w:tcMar>
            <w:vAlign w:val="center"/>
          </w:tcPr>
          <w:p vyd:_id="vyd:00000000000042">
            <w:pPr>
              <w:spacing w:after="0"/>
              <w:jc w:val="start"/>
            </w:pPr>
            <w:r>
              <w:t vyd:_id="vyd:00000000000043">Phase contrast; MAPE driven by late near-closure frames</w:t>
            </w:r>
          </w:p>
        </w:tc>
      </w:tr>
      <w:tr vyd:_id="vyd:00000000000035">
        <w:tc vyd:_id="vyd:0000000000003x">
          <w:tcPr>
            <w:tcMar>
              <w:top w:w="80" w:type="dxa"/>
              <w:start w:w="120" w:type="dxa"/>
              <w:bottom w:w="80" w:type="dxa"/>
              <w:end w:w="120" w:type="dxa"/>
            </w:tcMar>
            <w:vAlign w:val="center"/>
          </w:tcPr>
          <w:p vyd:_id="vyd:0000000000003y">
            <w:pPr>
              <w:spacing w:after="0"/>
              <w:jc w:val="start"/>
            </w:pPr>
            <w:r>
              <w:t vyd:_id="vyd:0000000000003z">cell_phone_HK</w:t>
            </w:r>
          </w:p>
        </w:tc>
        <w:tc vyd:_id="vyd:0000000000003u">
          <w:tcPr>
            <w:tcMar>
              <w:top w:w="80" w:type="dxa"/>
              <w:start w:w="120" w:type="dxa"/>
              <w:bottom w:w="80" w:type="dxa"/>
              <w:end w:w="120" w:type="dxa"/>
            </w:tcMar>
            <w:vAlign w:val="center"/>
          </w:tcPr>
          <w:p vyd:_id="vyd:0000000000003v">
            <w:pPr>
              <w:spacing w:after="0"/>
              <w:jc w:val="center"/>
            </w:pPr>
            <w:r>
              <w:t vyd:_id="vyd:0000000000003w">3</w:t>
            </w:r>
          </w:p>
        </w:tc>
        <w:tc vyd:_id="vyd:0000000000003r">
          <w:tcPr>
            <w:tcMar>
              <w:top w:w="80" w:type="dxa"/>
              <w:start w:w="120" w:type="dxa"/>
              <w:bottom w:w="80" w:type="dxa"/>
              <w:end w:w="120" w:type="dxa"/>
            </w:tcMar>
            <w:vAlign w:val="center"/>
          </w:tcPr>
          <w:p vyd:_id="vyd:0000000000003s">
            <w:pPr>
              <w:spacing w:after="0"/>
              <w:jc w:val="center"/>
            </w:pPr>
            <w:r>
              <w:t vyd:_id="vyd:0000000000003t">6.7</w:t>
            </w:r>
          </w:p>
        </w:tc>
        <w:tc vyd:_id="vyd:0000000000003o">
          <w:tcPr>
            <w:tcMar>
              <w:top w:w="80" w:type="dxa"/>
              <w:start w:w="120" w:type="dxa"/>
              <w:bottom w:w="80" w:type="dxa"/>
              <w:end w:w="120" w:type="dxa"/>
            </w:tcMar>
            <w:vAlign w:val="center"/>
          </w:tcPr>
          <w:p vyd:_id="vyd:0000000000003p">
            <w:pPr>
              <w:spacing w:after="0"/>
              <w:jc w:val="center"/>
            </w:pPr>
            <w:r>
              <w:t vyd:_id="vyd:0000000000003q">3.2</w:t>
            </w:r>
          </w:p>
        </w:tc>
        <w:tc vyd:_id="vyd:0000000000003l">
          <w:tcPr>
            <w:tcMar>
              <w:top w:w="80" w:type="dxa"/>
              <w:start w:w="120" w:type="dxa"/>
              <w:bottom w:w="80" w:type="dxa"/>
              <w:end w:w="120" w:type="dxa"/>
            </w:tcMar>
            <w:vAlign w:val="center"/>
          </w:tcPr>
          <w:p vyd:_id="vyd:0000000000003m">
            <w:pPr>
              <w:spacing w:after="0"/>
              <w:jc w:val="center"/>
            </w:pPr>
            <w:r>
              <w:t vyd:_id="vyd:0000000000003n">16.3</w:t>
            </w:r>
          </w:p>
        </w:tc>
        <w:tc vyd:_id="vyd:0000000000003i">
          <w:tcPr>
            <w:tcMar>
              <w:top w:w="80" w:type="dxa"/>
              <w:start w:w="120" w:type="dxa"/>
              <w:bottom w:w="80" w:type="dxa"/>
              <w:end w:w="120" w:type="dxa"/>
            </w:tcMar>
            <w:vAlign w:val="center"/>
          </w:tcPr>
          <w:p vyd:_id="vyd:0000000000003j">
            <w:pPr>
              <w:spacing w:after="0"/>
              <w:jc w:val="center"/>
            </w:pPr>
            <w:r>
              <w:t vyd:_id="vyd:0000000000003k">+6.7</w:t>
            </w:r>
          </w:p>
        </w:tc>
        <w:tc vyd:_id="vyd:0000000000003f">
          <w:tcPr>
            <w:tcMar>
              <w:top w:w="80" w:type="dxa"/>
              <w:start w:w="120" w:type="dxa"/>
              <w:bottom w:w="80" w:type="dxa"/>
              <w:end w:w="120" w:type="dxa"/>
            </w:tcMar>
            <w:vAlign w:val="center"/>
          </w:tcPr>
          <w:p vyd:_id="vyd:0000000000003g">
            <w:pPr>
              <w:spacing w:after="0"/>
              <w:jc w:val="center"/>
            </w:pPr>
            <w:r>
              <w:t vyd:_id="vyd:0000000000003h">0.9903</w:t>
            </w:r>
          </w:p>
        </w:tc>
        <w:tc vyd:_id="vyd:0000000000003c">
          <w:tcPr>
            <w:tcMar>
              <w:top w:w="80" w:type="dxa"/>
              <w:start w:w="120" w:type="dxa"/>
              <w:bottom w:w="80" w:type="dxa"/>
              <w:end w:w="120" w:type="dxa"/>
            </w:tcMar>
            <w:vAlign w:val="center"/>
          </w:tcPr>
          <w:p vyd:_id="vyd:0000000000003d">
            <w:pPr>
              <w:spacing w:after="0"/>
              <w:jc w:val="center"/>
            </w:pPr>
            <w:r>
              <w:t vyd:_id="vyd:0000000000003e">8.5</w:t>
            </w:r>
          </w:p>
        </w:tc>
        <w:tc vyd:_id="vyd:00000000000039">
          <w:tcPr>
            <w:tcMar>
              <w:top w:w="80" w:type="dxa"/>
              <w:start w:w="120" w:type="dxa"/>
              <w:bottom w:w="80" w:type="dxa"/>
              <w:end w:w="120" w:type="dxa"/>
            </w:tcMar>
            <w:vAlign w:val="center"/>
          </w:tcPr>
          <w:p vyd:_id="vyd:0000000000003a">
            <w:pPr>
              <w:spacing w:after="0"/>
              <w:jc w:val="center"/>
            </w:pPr>
            <w:r>
              <w:t vyd:_id="vyd:0000000000003b">0.9918</w:t>
            </w:r>
          </w:p>
        </w:tc>
        <w:tc vyd:_id="vyd:00000000000036">
          <w:tcPr>
            <w:tcMar>
              <w:top w:w="80" w:type="dxa"/>
              <w:start w:w="120" w:type="dxa"/>
              <w:bottom w:w="80" w:type="dxa"/>
              <w:end w:w="120" w:type="dxa"/>
            </w:tcMar>
            <w:vAlign w:val="center"/>
          </w:tcPr>
          <w:p vyd:_id="vyd:00000000000037">
            <w:pPr>
              <w:spacing w:after="0"/>
              <w:jc w:val="start"/>
            </w:pPr>
            <w:r>
              <w:t vyd:_id="vyd:00000000000038">External support set (HUVEC)</w:t>
            </w:r>
          </w:p>
        </w:tc>
      </w:tr>
      <w:tr vyd:_id="vyd:0000000000002a">
        <w:tc vyd:_id="vyd:00000000000032">
          <w:tcPr>
            <w:tcMar>
              <w:top w:w="80" w:type="dxa"/>
              <w:start w:w="120" w:type="dxa"/>
              <w:bottom w:w="80" w:type="dxa"/>
              <w:end w:w="120" w:type="dxa"/>
            </w:tcMar>
            <w:vAlign w:val="center"/>
          </w:tcPr>
          <w:p vyd:_id="vyd:00000000000033">
            <w:pPr>
              <w:spacing w:after="0"/>
              <w:jc w:val="start"/>
            </w:pPr>
            <w:r>
              <w:t vyd:_id="vyd:00000000000034">cell_phone_M8F</w:t>
            </w:r>
          </w:p>
        </w:tc>
        <w:tc vyd:_id="vyd:0000000000002z">
          <w:tcPr>
            <w:tcMar>
              <w:top w:w="80" w:type="dxa"/>
              <w:start w:w="120" w:type="dxa"/>
              <w:bottom w:w="80" w:type="dxa"/>
              <w:end w:w="120" w:type="dxa"/>
            </w:tcMar>
            <w:vAlign w:val="center"/>
          </w:tcPr>
          <w:p vyd:_id="vyd:00000000000030">
            <w:pPr>
              <w:spacing w:after="0"/>
              <w:jc w:val="center"/>
            </w:pPr>
            <w:r>
              <w:t vyd:_id="vyd:00000000000031">3</w:t>
            </w:r>
          </w:p>
        </w:tc>
        <w:tc vyd:_id="vyd:0000000000002w">
          <w:tcPr>
            <w:tcMar>
              <w:top w:w="80" w:type="dxa"/>
              <w:start w:w="120" w:type="dxa"/>
              <w:bottom w:w="80" w:type="dxa"/>
              <w:end w:w="120" w:type="dxa"/>
            </w:tcMar>
            <w:vAlign w:val="center"/>
          </w:tcPr>
          <w:p vyd:_id="vyd:0000000000002x">
            <w:pPr>
              <w:spacing w:after="0"/>
              <w:jc w:val="center"/>
            </w:pPr>
            <w:r>
              <w:t vyd:_id="vyd:0000000000002y">10.6</w:t>
            </w:r>
          </w:p>
        </w:tc>
        <w:tc vyd:_id="vyd:0000000000002t">
          <w:tcPr>
            <w:tcMar>
              <w:top w:w="80" w:type="dxa"/>
              <w:start w:w="120" w:type="dxa"/>
              <w:bottom w:w="80" w:type="dxa"/>
              <w:end w:w="120" w:type="dxa"/>
            </w:tcMar>
            <w:vAlign w:val="center"/>
          </w:tcPr>
          <w:p vyd:_id="vyd:0000000000002u">
            <w:pPr>
              <w:spacing w:after="0"/>
              <w:jc w:val="center"/>
            </w:pPr>
            <w:r>
              <w:t vyd:_id="vyd:0000000000002v">5.1</w:t>
            </w:r>
          </w:p>
        </w:tc>
        <w:tc vyd:_id="vyd:0000000000002q">
          <w:tcPr>
            <w:tcMar>
              <w:top w:w="80" w:type="dxa"/>
              <w:start w:w="120" w:type="dxa"/>
              <w:bottom w:w="80" w:type="dxa"/>
              <w:end w:w="120" w:type="dxa"/>
            </w:tcMar>
            <w:vAlign w:val="center"/>
          </w:tcPr>
          <w:p vyd:_id="vyd:0000000000002r">
            <w:pPr>
              <w:spacing w:after="0"/>
              <w:jc w:val="center"/>
            </w:pPr>
            <w:r>
              <w:t vyd:_id="vyd:0000000000002s">24.9</w:t>
            </w:r>
          </w:p>
        </w:tc>
        <w:tc vyd:_id="vyd:0000000000002n">
          <w:tcPr>
            <w:tcMar>
              <w:top w:w="80" w:type="dxa"/>
              <w:start w:w="120" w:type="dxa"/>
              <w:bottom w:w="80" w:type="dxa"/>
              <w:end w:w="120" w:type="dxa"/>
            </w:tcMar>
            <w:vAlign w:val="center"/>
          </w:tcPr>
          <w:p vyd:_id="vyd:0000000000002o">
            <w:pPr>
              <w:spacing w:after="0"/>
              <w:jc w:val="start"/>
            </w:pPr>
            <w:r>
              <w:t vyd:_id="vyd:0000000000002p">−10.6</w:t>
            </w:r>
          </w:p>
        </w:tc>
        <w:tc vyd:_id="vyd:0000000000002k">
          <w:tcPr>
            <w:tcMar>
              <w:top w:w="80" w:type="dxa"/>
              <w:start w:w="120" w:type="dxa"/>
              <w:bottom w:w="80" w:type="dxa"/>
              <w:end w:w="120" w:type="dxa"/>
            </w:tcMar>
            <w:vAlign w:val="center"/>
          </w:tcPr>
          <w:p vyd:_id="vyd:0000000000002l">
            <w:pPr>
              <w:spacing w:after="0"/>
              <w:jc w:val="center"/>
            </w:pPr>
            <w:r>
              <w:t vyd:_id="vyd:0000000000002m">0.9557</w:t>
            </w:r>
          </w:p>
        </w:tc>
        <w:tc vyd:_id="vyd:0000000000002h">
          <w:tcPr>
            <w:tcMar>
              <w:top w:w="80" w:type="dxa"/>
              <w:start w:w="120" w:type="dxa"/>
              <w:bottom w:w="80" w:type="dxa"/>
              <w:end w:w="120" w:type="dxa"/>
            </w:tcMar>
            <w:vAlign w:val="center"/>
          </w:tcPr>
          <w:p vyd:_id="vyd:0000000000002i">
            <w:pPr>
              <w:spacing w:after="0"/>
              <w:jc w:val="center"/>
            </w:pPr>
            <w:r>
              <w:t vyd:_id="vyd:0000000000002j">8.7</w:t>
            </w:r>
          </w:p>
        </w:tc>
        <w:tc vyd:_id="vyd:0000000000002e">
          <w:tcPr>
            <w:tcMar>
              <w:top w:w="80" w:type="dxa"/>
              <w:start w:w="120" w:type="dxa"/>
              <w:bottom w:w="80" w:type="dxa"/>
              <w:end w:w="120" w:type="dxa"/>
            </w:tcMar>
            <w:vAlign w:val="center"/>
          </w:tcPr>
          <w:p vyd:_id="vyd:0000000000002f">
            <w:pPr>
              <w:spacing w:after="0"/>
              <w:jc w:val="center"/>
            </w:pPr>
            <w:r>
              <w:t vyd:_id="vyd:0000000000002g">0.9076</w:t>
            </w:r>
          </w:p>
        </w:tc>
        <w:tc vyd:_id="vyd:0000000000002b">
          <w:tcPr>
            <w:tcMar>
              <w:top w:w="80" w:type="dxa"/>
              <w:start w:w="120" w:type="dxa"/>
              <w:bottom w:w="80" w:type="dxa"/>
              <w:end w:w="120" w:type="dxa"/>
            </w:tcMar>
            <w:vAlign w:val="center"/>
          </w:tcPr>
          <w:p vyd:_id="vyd:0000000000002c">
            <w:pPr>
              <w:spacing w:after="0"/>
              <w:jc w:val="start"/>
            </w:pPr>
            <w:r>
              <w:t vyd:_id="vyd:0000000000002d">Support / stress; late-frame underestimation in FDI-6-treated MDA-MB-231</w:t>
            </w:r>
          </w:p>
        </w:tc>
      </w:tr>
      <w:tr vyd:_id="vyd:0000000000001f">
        <w:tc vyd:_id="vyd:00000000000027">
          <w:tcPr>
            <w:tcMar>
              <w:top w:w="80" w:type="dxa"/>
              <w:start w:w="120" w:type="dxa"/>
              <w:bottom w:w="80" w:type="dxa"/>
              <w:end w:w="120" w:type="dxa"/>
            </w:tcMar>
            <w:vAlign w:val="center"/>
          </w:tcPr>
          <w:p vyd:_id="vyd:00000000000028">
            <w:pPr>
              <w:spacing w:after="0"/>
              <w:jc w:val="start"/>
            </w:pPr>
            <w:r>
              <w:t vyd:_id="vyd:00000000000029">cell_phone_MK</w:t>
            </w:r>
          </w:p>
        </w:tc>
        <w:tc vyd:_id="vyd:00000000000024">
          <w:tcPr>
            <w:tcMar>
              <w:top w:w="80" w:type="dxa"/>
              <w:start w:w="120" w:type="dxa"/>
              <w:bottom w:w="80" w:type="dxa"/>
              <w:end w:w="120" w:type="dxa"/>
            </w:tcMar>
            <w:vAlign w:val="center"/>
          </w:tcPr>
          <w:p vyd:_id="vyd:00000000000025">
            <w:pPr>
              <w:spacing w:after="0"/>
              <w:jc w:val="center"/>
            </w:pPr>
            <w:r>
              <w:t vyd:_id="vyd:00000000000026">3</w:t>
            </w:r>
          </w:p>
        </w:tc>
        <w:tc vyd:_id="vyd:00000000000021">
          <w:tcPr>
            <w:tcMar>
              <w:top w:w="80" w:type="dxa"/>
              <w:start w:w="120" w:type="dxa"/>
              <w:bottom w:w="80" w:type="dxa"/>
              <w:end w:w="120" w:type="dxa"/>
            </w:tcMar>
            <w:vAlign w:val="center"/>
          </w:tcPr>
          <w:p vyd:_id="vyd:00000000000022">
            <w:pPr>
              <w:spacing w:after="0"/>
              <w:jc w:val="center"/>
            </w:pPr>
            <w:r>
              <w:t vyd:_id="vyd:00000000000023">38.8</w:t>
            </w:r>
          </w:p>
        </w:tc>
        <w:tc vyd:_id="vyd:0000000000001y">
          <w:tcPr>
            <w:tcMar>
              <w:top w:w="80" w:type="dxa"/>
              <w:start w:w="120" w:type="dxa"/>
              <w:bottom w:w="80" w:type="dxa"/>
              <w:end w:w="120" w:type="dxa"/>
            </w:tcMar>
            <w:vAlign w:val="center"/>
          </w:tcPr>
          <w:p vyd:_id="vyd:0000000000001z">
            <w:pPr>
              <w:spacing w:after="0"/>
              <w:jc w:val="center"/>
            </w:pPr>
            <w:r>
              <w:t vyd:_id="vyd:00000000000020">43.4</w:t>
            </w:r>
          </w:p>
        </w:tc>
        <w:tc vyd:_id="vyd:0000000000001v">
          <w:tcPr>
            <w:tcMar>
              <w:top w:w="80" w:type="dxa"/>
              <w:start w:w="120" w:type="dxa"/>
              <w:bottom w:w="80" w:type="dxa"/>
              <w:end w:w="120" w:type="dxa"/>
            </w:tcMar>
            <w:vAlign w:val="center"/>
          </w:tcPr>
          <w:p vyd:_id="vyd:0000000000001w">
            <w:pPr>
              <w:spacing w:after="0"/>
              <w:jc w:val="center"/>
            </w:pPr>
            <w:r>
              <w:t vyd:_id="vyd:0000000000001x">72.3</w:t>
            </w:r>
          </w:p>
        </w:tc>
        <w:tc vyd:_id="vyd:0000000000001s">
          <w:tcPr>
            <w:tcMar>
              <w:top w:w="80" w:type="dxa"/>
              <w:start w:w="120" w:type="dxa"/>
              <w:bottom w:w="80" w:type="dxa"/>
              <w:end w:w="120" w:type="dxa"/>
            </w:tcMar>
            <w:vAlign w:val="center"/>
          </w:tcPr>
          <w:p vyd:_id="vyd:0000000000001t">
            <w:pPr>
              <w:spacing w:after="0"/>
              <w:jc w:val="center"/>
            </w:pPr>
            <w:r>
              <w:t vyd:_id="vyd:0000000000001u">+38.8</w:t>
            </w:r>
          </w:p>
        </w:tc>
        <w:tc vyd:_id="vyd:0000000000001p">
          <w:tcPr>
            <w:tcMar>
              <w:top w:w="80" w:type="dxa"/>
              <w:start w:w="120" w:type="dxa"/>
              <w:bottom w:w="80" w:type="dxa"/>
              <w:end w:w="120" w:type="dxa"/>
            </w:tcMar>
            <w:vAlign w:val="center"/>
          </w:tcPr>
          <w:p vyd:_id="vyd:0000000000001q">
            <w:pPr>
              <w:spacing w:after="0"/>
              <w:jc w:val="center"/>
            </w:pPr>
            <w:r>
              <w:t vyd:_id="vyd:0000000000001r">0.9880</w:t>
            </w:r>
          </w:p>
        </w:tc>
        <w:tc vyd:_id="vyd:0000000000001m">
          <w:tcPr>
            <w:tcMar>
              <w:top w:w="80" w:type="dxa"/>
              <w:start w:w="120" w:type="dxa"/>
              <w:bottom w:w="80" w:type="dxa"/>
              <w:end w:w="120" w:type="dxa"/>
            </w:tcMar>
            <w:vAlign w:val="center"/>
          </w:tcPr>
          <w:p vyd:_id="vyd:0000000000001n">
            <w:pPr>
              <w:spacing w:after="0"/>
              <w:jc w:val="center"/>
            </w:pPr>
            <w:r>
              <w:t vyd:_id="vyd:0000000000001o">31.0</w:t>
            </w:r>
          </w:p>
        </w:tc>
        <w:tc vyd:_id="vyd:0000000000001j">
          <w:tcPr>
            <w:tcMar>
              <w:top w:w="80" w:type="dxa"/>
              <w:start w:w="120" w:type="dxa"/>
              <w:bottom w:w="80" w:type="dxa"/>
              <w:end w:w="120" w:type="dxa"/>
            </w:tcMar>
            <w:vAlign w:val="center"/>
          </w:tcPr>
          <w:p vyd:_id="vyd:0000000000001k">
            <w:pPr>
              <w:spacing w:after="0"/>
              <w:jc w:val="center"/>
            </w:pPr>
            <w:r>
              <w:t vyd:_id="vyd:0000000000001l">0.9861</w:t>
            </w:r>
          </w:p>
        </w:tc>
        <w:tc vyd:_id="vyd:0000000000001g">
          <w:tcPr>
            <w:tcMar>
              <w:top w:w="80" w:type="dxa"/>
              <w:start w:w="120" w:type="dxa"/>
              <w:bottom w:w="80" w:type="dxa"/>
              <w:end w:w="120" w:type="dxa"/>
            </w:tcMar>
            <w:vAlign w:val="center"/>
          </w:tcPr>
          <w:p vyd:_id="vyd:0000000000001h">
            <w:pPr>
              <w:spacing w:after="0"/>
              <w:jc w:val="start"/>
            </w:pPr>
            <w:r>
              <w:t vyd:_id="vyd:0000000000001i">Stress / limitation case; fragmented near-closed wound; not accuracy evidence</w:t>
            </w:r>
          </w:p>
        </w:tc>
      </w:tr>
    </w:tbl>
    <w:p vyd:_id="vyd:0000000000001d"/>
    <w:p vyd:_id="vyd:0000000000001b">
      <w:r>
        <w:br w:type="page" vyd:_id="vyd:0000000000001c"/>
      </w:r>
    </w:p>
    <w:p vyd:_id="vyd:00000000000019">
      <w:pPr>
        <w:pStyle w:val="Heading1"/>
      </w:pPr>
      <w:r>
        <w:rPr>
          <w:rFonts w:ascii="Times New Roman" w:hAnsi="Times New Roman" w:eastAsia="Times New Roman"/>
          <w:sz w:val="24"/>
          <w:color w:val="000000"/>
          <w:b w:val="1"/>
        </w:rPr>
        <w:t vyd:_id="vyd:0000000000001a">Figures</w:t>
      </w:r>
    </w:p>
    <w:p vyd:_id="vyd:00000000000017">
      <w:r>
        <w:drawing vyd:_id="vyd:00000000000018">
          <wp:inline distT="0" distB="0" distL="0" distR="0">
            <wp:extent cx="5852160" cy="8046721"/>
            <wp:effectExtent l="0" t="0" r="0" b="0"/>
            <wp:docPr id="1" name="Picture 1"/>
            <wp:cNvGraphicFramePr>
              <a:graphicFrameLocks noChangeAspect="1"/>
            </wp:cNvGraphicFramePr>
            <a:graphic>
              <a:graphicData uri="http://schemas.openxmlformats.org/drawingml/2006/picture">
                <pic:pic>
                  <pic:nvPicPr>
                    <pic:cNvPr id="0" name="Figure1_1800.jpg"/>
                    <pic:cNvPicPr/>
                  </pic:nvPicPr>
                  <pic:blipFill>
                    <a:blip r:embed="rId9"/>
                    <a:stretch>
                      <a:fillRect/>
                    </a:stretch>
                  </pic:blipFill>
                  <pic:spPr>
                    <a:xfrm>
                      <a:off x="0" y="0"/>
                      <a:ext cx="5852160" cy="8046721"/>
                    </a:xfrm>
                    <a:prstGeom prst="rect"/>
                  </pic:spPr>
                </pic:pic>
              </a:graphicData>
            </a:graphic>
          </wp:inline>
        </w:drawing>
      </w:r>
    </w:p>
    <w:p vyd:_id="vyd:00000000000015">
      <w:pPr>
        <w:spacing w:after="240"/>
        <w:jc w:val="start"/>
      </w:pPr>
      <w:r>
        <w:t vyd:_id="vyd:00000000000016">Figure 1. Cytomove application workspace. The interface integrates adjustable segmentation parameters (left panel), overlay-based wound review (centre canvas), quality-control and metric summaries, and frame-level group navigation in a single workflow before export.</w:t>
      </w:r>
    </w:p>
    <w:p vyd:_id="vyd:00000000000013">
      <w:r>
        <w:br w:type="page" vyd:_id="vyd:00000000000014"/>
      </w:r>
    </w:p>
    <w:p vyd:_id="vyd:00000000000011">
      <w:r>
        <w:drawing vyd:_id="vyd:00000000000012">
          <wp:inline distT="0" distB="0" distL="0" distR="0">
            <wp:extent cx="5852160" cy="2119782"/>
            <wp:effectExtent l="0" t="0" r="0" b="0"/>
            <wp:docPr id="2" name="Picture 2"/>
            <wp:cNvGraphicFramePr>
              <a:graphicFrameLocks noChangeAspect="1"/>
            </wp:cNvGraphicFramePr>
            <a:graphic>
              <a:graphicData uri="http://schemas.openxmlformats.org/drawingml/2006/picture">
                <pic:pic>
                  <pic:nvPicPr>
                    <pic:cNvPr id="0" name="Figure2_1800.jpg"/>
                    <pic:cNvPicPr/>
                  </pic:nvPicPr>
                  <pic:blipFill>
                    <a:blip r:embed="rId10"/>
                    <a:stretch>
                      <a:fillRect/>
                    </a:stretch>
                  </pic:blipFill>
                  <pic:spPr>
                    <a:xfrm>
                      <a:off x="0" y="0"/>
                      <a:ext cx="5852160" cy="2119782"/>
                    </a:xfrm>
                    <a:prstGeom prst="rect"/>
                  </pic:spPr>
                </pic:pic>
              </a:graphicData>
            </a:graphic>
          </wp:inline>
        </w:drawing>
      </w:r>
    </w:p>
    <w:p vyd:_id="vyd:0000000000000z">
      <w:pPr>
        <w:spacing w:after="240"/>
        <w:jc w:val="start"/>
      </w:pPr>
      <w:r>
        <w:t vyd:_id="vyd:00000000000010">Figure 2. Representative Cytomove segmentation overlays. Contour overlays for (A) a clean brightfield CSMA sample frame, (B) a WHAD-MCF7 phase-contrast frame at mid-closure, and (C) an author-acquired smartphone brightfield frame with circular field borders. The wound contour remains visible so that segmentation quality can be inspected before any measurement is exported.</w:t>
      </w:r>
    </w:p>
    <w:p vyd:_id="vyd:0000000000000x">
      <w:r>
        <w:br w:type="page" vyd:_id="vyd:0000000000000y"/>
      </w:r>
    </w:p>
    <w:p vyd:_id="vyd:0000000000000v">
      <w:r>
        <w:drawing vyd:_id="vyd:0000000000000w">
          <wp:inline distT="0" distB="0" distL="0" distR="0">
            <wp:extent cx="5852160" cy="2591206"/>
            <wp:effectExtent l="0" t="0" r="0" b="0"/>
            <wp:docPr id="3" name="Picture 3"/>
            <wp:cNvGraphicFramePr>
              <a:graphicFrameLocks noChangeAspect="1"/>
            </wp:cNvGraphicFramePr>
            <a:graphic>
              <a:graphicData uri="http://schemas.openxmlformats.org/drawingml/2006/picture">
                <pic:pic>
                  <pic:nvPicPr>
                    <pic:cNvPr id="0" name="Figure3_1800.jpg"/>
                    <pic:cNvPicPr/>
                  </pic:nvPicPr>
                  <pic:blipFill>
                    <a:blip r:embed="rId11"/>
                    <a:stretch>
                      <a:fillRect/>
                    </a:stretch>
                  </pic:blipFill>
                  <pic:spPr>
                    <a:xfrm>
                      <a:off x="0" y="0"/>
                      <a:ext cx="5852160" cy="2591206"/>
                    </a:xfrm>
                    <a:prstGeom prst="rect"/>
                  </pic:spPr>
                </pic:pic>
              </a:graphicData>
            </a:graphic>
          </wp:inline>
        </w:drawing>
      </w:r>
    </w:p>
    <w:p vyd:_id="vyd:0000000000000t">
      <w:pPr>
        <w:spacing w:after="240"/>
        <w:jc w:val="start"/>
      </w:pPr>
      <w:r>
        <w:t vyd:_id="vyd:0000000000000u">Figure 3. WHST versus Cytomove wound-area comparison across all validation sets. (A) Paired WHST and Cytomove wound-area values against the identity line, with a distinct marker per dataset. (B) Bland–Altman view on the absolute area scale; the solid line marks the median difference (−0.002 Mpx) and the dashed lines the 2.5–97.5th percentile limits of agreement (−0.134 to +0.169 Mpx).</w:t>
      </w:r>
    </w:p>
    <w:p vyd:_id="vyd:0000000000000r">
      <w:r>
        <w:br w:type="page" vyd:_id="vyd:0000000000000s"/>
      </w:r>
    </w:p>
    <w:p vyd:_id="vyd:0000000000000p">
      <w:r>
        <w:drawing vyd:_id="vyd:0000000000000q">
          <wp:inline distT="0" distB="0" distL="0" distR="0">
            <wp:extent cx="5852160" cy="4522419"/>
            <wp:effectExtent l="0" t="0" r="0" b="0"/>
            <wp:docPr id="4" name="Picture 4"/>
            <wp:cNvGraphicFramePr>
              <a:graphicFrameLocks noChangeAspect="1"/>
            </wp:cNvGraphicFramePr>
            <a:graphic>
              <a:graphicData uri="http://schemas.openxmlformats.org/drawingml/2006/picture">
                <pic:pic>
                  <pic:nvPicPr>
                    <pic:cNvPr id="0" name="Figure4_1800.jpg"/>
                    <pic:cNvPicPr/>
                  </pic:nvPicPr>
                  <pic:blipFill>
                    <a:blip r:embed="rId12"/>
                    <a:stretch>
                      <a:fillRect/>
                    </a:stretch>
                  </pic:blipFill>
                  <pic:spPr>
                    <a:xfrm>
                      <a:off x="0" y="0"/>
                      <a:ext cx="5852160" cy="4522419"/>
                    </a:xfrm>
                    <a:prstGeom prst="rect"/>
                  </pic:spPr>
                </pic:pic>
              </a:graphicData>
            </a:graphic>
          </wp:inline>
        </w:drawing>
      </w:r>
    </w:p>
    <w:p vyd:_id="vyd:0000000000000n">
      <w:pPr>
        <w:spacing w:after="240"/>
        <w:jc w:val="start"/>
      </w:pPr>
      <w:r>
        <w:t vyd:_id="vyd:0000000000000o">Figure 4. Visual comparison of WHST output and Cytomove overlays. Representative frame pairs connecting numerical comparison with visual evidence across the clean brightfield, phase-contrast, and smartphone acquisition contexts.</w:t>
      </w:r>
    </w:p>
    <w:p vyd:_id="vyd:0000000000000l">
      <w:r>
        <w:br w:type="page" vyd:_id="vyd:0000000000000m"/>
      </w:r>
    </w:p>
    <w:p vyd:_id="vyd:0000000000000k">
      <w:pPr>
        <w:sectPr vyd:_id="vyd:0000000000000j">
          <w:type w:val="nextPage"/>
          <w:pgSz w:w="12240" w:h="15840" w:orient="portrait"/>
          <w:pgMar w:top="1440" w:right="1440" w:bottom="1440" w:left="1440" w:header="720" w:footer="720" w:gutter="0"/>
          <w:cols w:equalWidth="1" w:space="720" w:sep="0"/>
          <w:vAlign w:val="top"/>
          <w:titlePg w:val="0"/>
          <w:docGrid w:linePitch="360"/>
        </w:sectPr>
      </w:pPr>
    </w:p>
    <w:p vyd:_id="vyd:0000000000000h">
      <w:r>
        <w:drawing vyd:_id="vyd:0000000000000i">
          <wp:inline distT="0" distB="0" distL="0" distR="0">
            <wp:extent cx="9144000" cy="6467856"/>
            <wp:effectExtent l="0" t="0" r="0" b="0"/>
            <wp:docPr id="5" name="Picture 5"/>
            <wp:cNvGraphicFramePr>
              <a:graphicFrameLocks noChangeAspect="1"/>
            </wp:cNvGraphicFramePr>
            <a:graphic>
              <a:graphicData uri="http://schemas.openxmlformats.org/drawingml/2006/picture">
                <pic:pic>
                  <pic:nvPicPr>
                    <pic:cNvPr id="0" name="Figure5_3000.jpg"/>
                    <pic:cNvPicPr/>
                  </pic:nvPicPr>
                  <pic:blipFill>
                    <a:blip r:embed="rId13"/>
                    <a:stretch>
                      <a:fillRect/>
                    </a:stretch>
                  </pic:blipFill>
                  <pic:spPr>
                    <a:xfrm>
                      <a:off x="0" y="0"/>
                      <a:ext cx="9144000" cy="6467856"/>
                    </a:xfrm>
                    <a:prstGeom prst="rect"/>
                  </pic:spPr>
                </pic:pic>
              </a:graphicData>
            </a:graphic>
          </wp:inline>
        </w:drawing>
      </w:r>
    </w:p>
    <w:p vyd:_id="vyd:0000000000000f">
      <w:pPr>
        <w:spacing w:after="240"/>
        <w:jc w:val="start"/>
      </w:pPr>
      <w:r>
        <w:t vyd:_id="vyd:0000000000000g">Figure 5. CSMA sample 11 three-method area comparison and frame-level visual audit. (A–C) Native CSMA, WHST, and Cytomove wound area across the 11-frame sequence; (D) frame-level audit showing raw image, CSMA area output, WHST measurement, and Cytomove overlay for each frame.</w:t>
      </w:r>
    </w:p>
    <w:p vyd:_id="vyd:0000000000000d">
      <w:r>
        <w:br w:type="page" vyd:_id="vyd:0000000000000e"/>
      </w:r>
    </w:p>
    <w:p vyd:_id="vyd:0000000000000b">
      <w:r>
        <w:drawing vyd:_id="vyd:0000000000000c">
          <wp:inline distT="0" distB="0" distL="0" distR="0">
            <wp:extent cx="5852160" cy="3774643"/>
            <wp:effectExtent l="0" t="0" r="0" b="0"/>
            <wp:docPr id="6" name="Picture 6"/>
            <wp:cNvGraphicFramePr>
              <a:graphicFrameLocks noChangeAspect="1"/>
            </wp:cNvGraphicFramePr>
            <a:graphic>
              <a:graphicData uri="http://schemas.openxmlformats.org/drawingml/2006/picture">
                <pic:pic>
                  <pic:nvPicPr>
                    <pic:cNvPr id="0" name="Figure6_1800.jpg"/>
                    <pic:cNvPicPr/>
                  </pic:nvPicPr>
                  <pic:blipFill>
                    <a:blip r:embed="rId14"/>
                    <a:stretch>
                      <a:fillRect/>
                    </a:stretch>
                  </pic:blipFill>
                  <pic:spPr>
                    <a:xfrm>
                      <a:off x="0" y="0"/>
                      <a:ext cx="5852160" cy="3774643"/>
                    </a:xfrm>
                    <a:prstGeom prst="rect"/>
                  </pic:spPr>
                </pic:pic>
              </a:graphicData>
            </a:graphic>
          </wp:inline>
        </w:drawing>
      </w:r>
    </w:p>
    <w:p vyd:_id="vyd:00000000000009">
      <w:pPr>
        <w:spacing w:after="240"/>
        <w:jc w:val="start"/>
      </w:pPr>
      <w:r>
        <w:t vyd:_id="vyd:0000000000000a">Figure 6. WHAD-MCF7 phase-contrast time-course and frame-level audit. (A) Wound area and (B) wound width trajectories across the 11-frame sequence, with (C) frame-level overlays; late near-closure frames are flagged as review-sensitive.</w:t>
      </w:r>
    </w:p>
    <w:p vyd:_id="vyd:00000000000007">
      <w:r>
        <w:br w:type="page" vyd:_id="vyd:00000000000008"/>
      </w:r>
    </w:p>
    <w:p vyd:_id="vyd:00000000000005">
      <w:r>
        <w:drawing vyd:_id="vyd:00000000000006">
          <wp:inline distT="0" distB="0" distL="0" distR="0">
            <wp:extent cx="5852160" cy="2698496"/>
            <wp:effectExtent l="0" t="0" r="0" b="0"/>
            <wp:docPr id="7" name="Picture 7"/>
            <wp:cNvGraphicFramePr>
              <a:graphicFrameLocks noChangeAspect="1"/>
            </wp:cNvGraphicFramePr>
            <a:graphic>
              <a:graphicData uri="http://schemas.openxmlformats.org/drawingml/2006/picture">
                <pic:pic>
                  <pic:nvPicPr>
                    <pic:cNvPr id="0" name="FigureS1_1800.jpg"/>
                    <pic:cNvPicPr/>
                  </pic:nvPicPr>
                  <pic:blipFill>
                    <a:blip r:embed="rId15"/>
                    <a:stretch>
                      <a:fillRect/>
                    </a:stretch>
                  </pic:blipFill>
                  <pic:spPr>
                    <a:xfrm>
                      <a:off x="0" y="0"/>
                      <a:ext cx="5852160" cy="2698496"/>
                    </a:xfrm>
                    <a:prstGeom prst="rect"/>
                  </pic:spPr>
                </pic:pic>
              </a:graphicData>
            </a:graphic>
          </wp:inline>
        </w:drawing>
      </w:r>
    </w:p>
    <w:p vyd:_id="vyd:00000000000003">
      <w:pPr>
        <w:spacing w:after="240"/>
        <w:jc w:val="start"/>
      </w:pPr>
      <w:r>
        <w:t vyd:_id="vyd:00000000000004">Supplementary Figure S1. Dataset-level validation summary. Diagnostic panel of area and width agreement statistics across all five validation sets.</w:t>
      </w:r>
    </w:p>
    <w:sectPr vyd:_id="vyd:00000000000002" w:rsidR="00FC693F" w:rsidRPr="0006063C" w:rsidSect="00034616">
      <w:type w:val="nextPage"/>
      <w:pgSz w:w="15840" w:h="12240" w:orient="landscape"/>
      <w:pgMar w:top="792" w:right="648" w:bottom="792" w:left="648" w:header="720" w:footer="720" w:gutter="0"/>
      <w:cols w:equalWidth="1" w:space="720" w:sep="0"/>
      <w:vAlign w:val="top"/>
      <w:titlePg w:val="0"/>
      <w:docGrid w:linePitch="360"/>
    </w:sectPr>
  </w:body>
</w:document>
</file>

<file path=word/comments.xml><?xml version="1.0" encoding="utf-8"?>
<w:comments xmlns:vyd="http://volga.yandex.com/schemas/document/model" xmlns:w14="http://schemas.microsoft.com/office/word/2010/wordml" xmlns:w="http://schemas.openxmlformats.org/wordprocessingml/2006/main">
  <w:comment vyd:_id="vyd:mpztklb9elxwoz" w:author="Zekeriya D." w:initials="ZD" w:id="0" w:date="2026-06-04T18:19:14.277Z">
    <w:p vyd:_id="vyd:mpztklb72vnb4p" w14:paraId="00000001">
      <w:r>
        <w:t vyd:_id="vyd:mpztklb8dnh2ep">Kaynak kontrol et</w:t>
      </w:r>
    </w:p>
  </w:comment>
  <w:comment vyd:_id="vyd:mpztq3rr1fchcc" w:author="Zekeriya D." w:initials="ZD" w:id="1" w:date="2026-06-04T18:23:31.479Z">
    <w:p vyd:_id="vyd:mpztq3rquk1kuo" w14:paraId="00000002">
      <w:r>
        <w:t vyd:_id="vyd:mpztq3rrg0stpj">Daha akademikdir dil mikullansak</w:t>
      </w:r>
    </w:p>
  </w:comment>
  <w:comment vyd:_id="vyd:mpzu0uh28bf7yr" w:author="Zekeriya D." w:initials="ZD" w:id="2" w:date="2026-06-04T18:31:52.646Z">
    <w:p vyd:_id="vyd:mpzu0uh12ayfhv" w14:paraId="00000003">
      <w:r>
        <w:t vyd:_id="vyd:mpzu0uh13f96dw">Bunu öne çıkarabiliriz çünkü başka yerde gormedım uniqe</w:t>
      </w:r>
    </w:p>
  </w:comment>
  <w:comment vyd:_id="vyd:mpzu6kl15tt8ms" w:author="Zekeriya D." w:initials="ZD" w:id="3" w:date="2026-06-04T18:36:19.765Z">
    <w:p vyd:_id="vyd:mpzu6kl0u8wffx" w14:paraId="00000004">
      <w:r>
        <w:t vyd:_id="vyd:mpzu6kl1arcx0t">Kontrol et</w:t>
      </w:r>
    </w:p>
  </w:comment>
  <w:comment vyd:_id="vyd:mpzude32chv41g" w:author="Zekeriya D." w:initials="ZD" w:id="4" w:date="2026-06-04T18:41:37.934Z">
    <w:p vyd:_id="vyd:mpzude319rfxrt" w14:paraId="00000005">
      <w:r>
        <w:t vyd:_id="vyd:mpzude32y1ew7u">Ne demek</w:t>
      </w:r>
    </w:p>
  </w:comment>
</w:comments>
</file>

<file path=word/commentsExtended.xml><?xml version="1.0" encoding="utf-8"?>
<w15:commentsEx xmlns:w15="http://schemas.microsoft.com/office/word/2012/wordml">
  <w15:commentEx w15:done="0" w15:paraId="00000001"/>
  <w15:commentEx w15:done="0" w15:paraId="00000002"/>
  <w15:commentEx w15:done="0" w15:paraId="00000003"/>
  <w15:commentEx w15:done="0" w15:paraId="00000004"/>
  <w15:commentEx w15:done="0" w15:paraId="00000005"/>
</w15:commentsEx>
</file>

<file path=word/fontTable.xml><?xml version="1.0" encoding="utf-8"?>
<w:fonts xmlns:mc="http://schemas.openxmlformats.org/markup-compatibility/2006"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http://schemas.openxmlformats.org/wordprocessingml/2006/main">
  <w:abstractNum w:abstractNumId="0">
    <w:nsid w:val="FFFFFF7C"/>
    <w:multiLevelType w:val="singleLevel"/>
    <w:tmpl w:val="C310EC42"/>
    <w:lvl w:ilvl="0">
      <w:start w:val="1"/>
      <w:numFmt w:val="decimal"/>
      <w:lvlText w:val="%1."/>
      <w:lvlJc w:val="start"/>
      <w:pPr>
        <w:tabs>
          <w:tab w:val="num" w:pos="1800"/>
        </w:tabs>
        <w:ind w:start="1800" w:hanging="360"/>
      </w:pPr>
    </w:lvl>
  </w:abstractNum>
  <w:abstractNum w:abstractNumId="1">
    <w:nsid w:val="FFFFFF7D"/>
    <w:multiLevelType w:val="singleLevel"/>
    <w:tmpl w:val="E4089024"/>
    <w:lvl w:ilvl="0">
      <w:start w:val="1"/>
      <w:numFmt w:val="decimal"/>
      <w:lvlText w:val="%1."/>
      <w:lvlJc w:val="start"/>
      <w:pPr>
        <w:tabs>
          <w:tab w:val="num" w:pos="1440"/>
        </w:tabs>
        <w:ind w:start="1440" w:hanging="360"/>
      </w:pPr>
    </w:lvl>
  </w:abstractNum>
  <w:abstractNum w:abstractNumId="2">
    <w:nsid w:val="FFFFFF7E"/>
    <w:multiLevelType w:val="singleLevel"/>
    <w:tmpl w:val="FB12693A"/>
    <w:lvl w:ilvl="0">
      <w:start w:val="1"/>
      <w:numFmt w:val="decimal"/>
      <w:pStyle w:val="ListNumber3"/>
      <w:lvlText w:val="%1."/>
      <w:lvlJc w:val="start"/>
      <w:pPr>
        <w:tabs>
          <w:tab w:val="num" w:pos="1080"/>
        </w:tabs>
        <w:ind w:start="1080" w:hanging="360"/>
      </w:pPr>
    </w:lvl>
  </w:abstractNum>
  <w:abstractNum w:abstractNumId="3">
    <w:nsid w:val="FFFFFF7F"/>
    <w:multiLevelType w:val="singleLevel"/>
    <w:tmpl w:val="38441652"/>
    <w:lvl w:ilvl="0">
      <w:start w:val="1"/>
      <w:numFmt w:val="decimal"/>
      <w:pStyle w:val="ListNumber2"/>
      <w:lvlText w:val="%1."/>
      <w:lvlJc w:val="start"/>
      <w:pPr>
        <w:tabs>
          <w:tab w:val="num" w:pos="720"/>
        </w:tabs>
        <w:ind w:start="720" w:hanging="360"/>
      </w:pPr>
    </w:lvl>
  </w:abstractNum>
  <w:abstractNum w:abstractNumId="4">
    <w:nsid w:val="FFFFFF81"/>
    <w:multiLevelType w:val="singleLevel"/>
    <w:tmpl w:val="171AC3A4"/>
    <w:lvl w:ilvl="0">
      <w:start w:val="1"/>
      <w:numFmt w:val="bullet"/>
      <w:lvlText w:val=""/>
      <w:lvlJc w:val="start"/>
      <w:pPr>
        <w:tabs>
          <w:tab w:val="num" w:pos="1440"/>
        </w:tabs>
        <w:ind w:star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start"/>
      <w:pPr>
        <w:tabs>
          <w:tab w:val="num" w:pos="1080"/>
        </w:tabs>
        <w:ind w:star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start"/>
      <w:pPr>
        <w:tabs>
          <w:tab w:val="num" w:pos="720"/>
        </w:tabs>
        <w:ind w:star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start"/>
      <w:pPr>
        <w:tabs>
          <w:tab w:val="num" w:pos="360"/>
        </w:tabs>
        <w:ind w:start="360" w:hanging="360"/>
      </w:pPr>
    </w:lvl>
  </w:abstractNum>
  <w:abstractNum w:abstractNumId="8">
    <w:nsid w:val="FFFFFF89"/>
    <w:multiLevelType w:val="singleLevel"/>
    <w:tmpl w:val="29761A62"/>
    <w:lvl w:ilvl="0">
      <w:start w:val="1"/>
      <w:numFmt w:val="bullet"/>
      <w:pStyle w:val="ListBullet"/>
      <w:lvlText w:val=""/>
      <w:lvlJc w:val="start"/>
      <w:pPr>
        <w:tabs>
          <w:tab w:val="num" w:pos="360"/>
        </w:tabs>
        <w:ind w:star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15="http://schemas.microsoft.com/office/word/2012/wordml">
  <w15:person w15:author="Zekeriya D.">
    <w15:presenceInfo w15:providerId="yaDocs" w15:userId="196164033"/>
  </w15:person>
</w15:people>
</file>

<file path=word/settings.xml><?xml version="1.0" encoding="utf-8"?>
<w:settings xmlns:v="urn:schemas-microsoft-com:vml" xmlns:w="http://schemas.openxmlformats.org/wordprocessingml/2006/main" xmlns:w14="http://schemas.microsoft.com/office/word/2010/wordml" xmlns:m="http://schemas.openxmlformats.org/officeDocument/2006/math" xmlns:o="urn:schemas-microsoft-com:office:office">
  <w14:docId w14:val="24062061"/>
  <w14:defaultImageDpi w14:val="300"/>
  <w:zoom w:val="bestFit"/>
  <w:displayBackgroundShape w:val="1"/>
  <w:defaultTabStop w:val="720"/>
  <w:evenAndOddHeaders w:val="0"/>
  <w:characterSpacingControl w:val="doNotCompress"/>
  <w:savePreviewPicture w:val="1"/>
  <w:compat>
    <w:useFELayout w:val="1"/>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val="1"/>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shapeDefaults>
    <o:shapedefaults v:ext="edit" spidmax="1027"/>
    <o:shapelayout v:ext="edit">
      <o:idmap v:ext="edit" data="1"/>
    </o:shapelayout>
  </w:shapeDefaults>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lang w:val="en-US"/>
        <w:szCs w:val="22"/>
      </w:rPr>
    </w:rPrDefault>
    <w:pPrDefault>
      <w:pPr>
        <w:spacing w:after="200" w:line="276" w:lineRule="auto"/>
      </w:pPr>
    </w:pPrDefault>
  </w:docDefaults>
  <w:latentStyles w:defSemiHidden="1" w:defUnhideWhenUsed="1" w:count="276">
    <w:lsdException w:name="Bibliography" w:uiPriority="37"/>
    <w:lsdException w:name="Book Title" w:uiPriority="33" w:semiHidden="0" w:unhideWhenUsed="0" w:qFormat="1"/>
    <w:lsdException w:name="caption" w:uiPriority="35" w:qFormat="1"/>
    <w:lsdException w:name="Colorful Grid" w:uiPriority="73" w:semiHidden="0" w:unhideWhenUsed="0"/>
    <w:lsdException w:name="Colorful Grid Accent 1" w:uiPriority="73" w:semiHidden="0" w:unhideWhenUsed="0"/>
    <w:lsdException w:name="Colorful Grid Accent 2" w:uiPriority="73" w:semiHidden="0" w:unhideWhenUsed="0"/>
    <w:lsdException w:name="Colorful Grid Accent 3" w:uiPriority="73" w:semiHidden="0" w:unhideWhenUsed="0"/>
    <w:lsdException w:name="Colorful Grid Accent 4" w:uiPriority="73" w:semiHidden="0" w:unhideWhenUsed="0"/>
    <w:lsdException w:name="Colorful Grid Accent 5" w:uiPriority="73" w:semiHidden="0" w:unhideWhenUsed="0"/>
    <w:lsdException w:name="Colorful Grid Accent 6" w:uiPriority="73" w:semiHidden="0" w:unhideWhenUsed="0"/>
    <w:lsdException w:name="Colorful List" w:uiPriority="72" w:semiHidden="0" w:unhideWhenUsed="0"/>
    <w:lsdException w:name="Colorful List Accent 1" w:uiPriority="72" w:semiHidden="0" w:unhideWhenUsed="0"/>
    <w:lsdException w:name="Colorful List Accent 2" w:uiPriority="72" w:semiHidden="0" w:unhideWhenUsed="0"/>
    <w:lsdException w:name="Colorful List Accent 3" w:uiPriority="72" w:semiHidden="0" w:unhideWhenUsed="0"/>
    <w:lsdException w:name="Colorful List Accent 4" w:uiPriority="72" w:semiHidden="0" w:unhideWhenUsed="0"/>
    <w:lsdException w:name="Colorful List Accent 5" w:uiPriority="72" w:semiHidden="0" w:unhideWhenUsed="0"/>
    <w:lsdException w:name="Colorful List Accent 6" w:uiPriority="72" w:semiHidden="0" w:unhideWhenUsed="0"/>
    <w:lsdException w:name="Colorful Shading" w:uiPriority="71" w:semiHidden="0" w:unhideWhenUsed="0"/>
    <w:lsdException w:name="Colorful Shading Accent 1" w:uiPriority="71" w:semiHidden="0" w:unhideWhenUsed="0"/>
    <w:lsdException w:name="Colorful Shading Accent 2" w:uiPriority="71" w:semiHidden="0" w:unhideWhenUsed="0"/>
    <w:lsdException w:name="Colorful Shading Accent 3" w:uiPriority="71" w:semiHidden="0" w:unhideWhenUsed="0"/>
    <w:lsdException w:name="Colorful Shading Accent 4" w:uiPriority="71" w:semiHidden="0" w:unhideWhenUsed="0"/>
    <w:lsdException w:name="Colorful Shading Accent 5" w:uiPriority="71" w:semiHidden="0" w:unhideWhenUsed="0"/>
    <w:lsdException w:name="Colorful Shading Accent 6" w:uiPriority="71" w:semiHidden="0" w:unhideWhenUsed="0"/>
    <w:lsdException w:name="Dark List" w:uiPriority="70" w:semiHidden="0" w:unhideWhenUsed="0"/>
    <w:lsdException w:name="Dark List Accent 1" w:uiPriority="70" w:semiHidden="0" w:unhideWhenUsed="0"/>
    <w:lsdException w:name="Dark List Accent 2" w:uiPriority="70" w:semiHidden="0" w:unhideWhenUsed="0"/>
    <w:lsdException w:name="Dark List Accent 3" w:uiPriority="70" w:semiHidden="0" w:unhideWhenUsed="0"/>
    <w:lsdException w:name="Dark List Accent 4" w:uiPriority="70" w:semiHidden="0" w:unhideWhenUsed="0"/>
    <w:lsdException w:name="Dark List Accent 5" w:uiPriority="70" w:semiHidden="0" w:unhideWhenUsed="0"/>
    <w:lsdException w:name="Dark List Accent 6" w:uiPriority="70" w:semiHidden="0" w:unhideWhenUsed="0"/>
    <w:lsdException w:name="Default Paragraph Font" w:uiPriority="1"/>
    <w:lsdException w:name="Emphasis" w:uiPriority="2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tense Emphasis" w:uiPriority="21" w:semiHidden="0" w:unhideWhenUsed="0" w:qFormat="1"/>
    <w:lsdException w:name="Intense Quote" w:uiPriority="30" w:semiHidden="0" w:unhideWhenUsed="0" w:qFormat="1"/>
    <w:lsdException w:name="Intense Reference" w:uiPriority="32" w:semiHidden="0" w:unhideWhenUsed="0" w:qFormat="1"/>
    <w:lsdException w:name="Light Grid" w:uiPriority="62" w:semiHidden="0" w:unhideWhenUsed="0"/>
    <w:lsdException w:name="Light Grid Accent 1" w:uiPriority="62" w:semiHidden="0" w:unhideWhenUsed="0"/>
    <w:lsdException w:name="Light Grid Accent 2" w:uiPriority="62" w:semiHidden="0" w:unhideWhenUsed="0"/>
    <w:lsdException w:name="Light Grid Accent 3" w:uiPriority="62" w:semiHidden="0" w:unhideWhenUsed="0"/>
    <w:lsdException w:name="Light Grid Accent 4" w:uiPriority="62" w:semiHidden="0" w:unhideWhenUsed="0"/>
    <w:lsdException w:name="Light Grid Accent 5" w:uiPriority="62" w:semiHidden="0" w:unhideWhenUsed="0"/>
    <w:lsdException w:name="Light Grid Accent 6" w:uiPriority="62" w:semiHidden="0" w:unhideWhenUsed="0"/>
    <w:lsdException w:name="Light List" w:uiPriority="61" w:semiHidden="0" w:unhideWhenUsed="0"/>
    <w:lsdException w:name="Light List Accent 1" w:uiPriority="61" w:semiHidden="0" w:unhideWhenUsed="0"/>
    <w:lsdException w:name="Light List Accent 2" w:uiPriority="61" w:semiHidden="0" w:unhideWhenUsed="0"/>
    <w:lsdException w:name="Light List Accent 3" w:uiPriority="61" w:semiHidden="0" w:unhideWhenUsed="0"/>
    <w:lsdException w:name="Light List Accent 4" w:uiPriority="61" w:semiHidden="0" w:unhideWhenUsed="0"/>
    <w:lsdException w:name="Light List Accent 5" w:uiPriority="61" w:semiHidden="0" w:unhideWhenUsed="0"/>
    <w:lsdException w:name="Light List Accent 6" w:uiPriority="61" w:semiHidden="0" w:unhideWhenUsed="0"/>
    <w:lsdException w:name="Light Shading" w:uiPriority="60" w:semiHidden="0" w:unhideWhenUsed="0"/>
    <w:lsdException w:name="Light Shading Accent 1" w:uiPriority="60" w:semiHidden="0" w:unhideWhenUsed="0"/>
    <w:lsdException w:name="Light Shading Accent 2" w:uiPriority="60" w:semiHidden="0" w:unhideWhenUsed="0"/>
    <w:lsdException w:name="Light Shading Accent 3" w:uiPriority="60" w:semiHidden="0" w:unhideWhenUsed="0"/>
    <w:lsdException w:name="Light Shading Accent 4" w:uiPriority="60" w:semiHidden="0" w:unhideWhenUsed="0"/>
    <w:lsdException w:name="Light Shading Accent 5" w:uiPriority="60" w:semiHidden="0" w:unhideWhenUsed="0"/>
    <w:lsdException w:name="Light Shading Accent 6" w:uiPriority="60" w:semiHidden="0" w:unhideWhenUsed="0"/>
    <w:lsdException w:name="List Paragraph" w:uiPriority="34" w:semiHidden="0" w:unhideWhenUsed="0" w:qFormat="1"/>
    <w:lsdException w:name="Medium Grid 1" w:uiPriority="67" w:semiHidden="0" w:unhideWhenUsed="0"/>
    <w:lsdException w:name="Medium Grid 1 Accent 1" w:uiPriority="67" w:semiHidden="0" w:unhideWhenUsed="0"/>
    <w:lsdException w:name="Medium Grid 1 Accent 2" w:uiPriority="67" w:semiHidden="0" w:unhideWhenUsed="0"/>
    <w:lsdException w:name="Medium Grid 1 Accent 3" w:uiPriority="67" w:semiHidden="0" w:unhideWhenUsed="0"/>
    <w:lsdException w:name="Medium Grid 1 Accent 4" w:uiPriority="67" w:semiHidden="0" w:unhideWhenUsed="0"/>
    <w:lsdException w:name="Medium Grid 1 Accent 5" w:uiPriority="67" w:semiHidden="0" w:unhideWhenUsed="0"/>
    <w:lsdException w:name="Medium Grid 1 Accent 6" w:uiPriority="67" w:semiHidden="0" w:unhideWhenUsed="0"/>
    <w:lsdException w:name="Medium Grid 2" w:uiPriority="68" w:semiHidden="0" w:unhideWhenUsed="0"/>
    <w:lsdException w:name="Medium Grid 2 Accent 1" w:uiPriority="68" w:semiHidden="0" w:unhideWhenUsed="0"/>
    <w:lsdException w:name="Medium Grid 2 Accent 2" w:uiPriority="68" w:semiHidden="0" w:unhideWhenUsed="0"/>
    <w:lsdException w:name="Medium Grid 2 Accent 3" w:uiPriority="68" w:semiHidden="0" w:unhideWhenUsed="0"/>
    <w:lsdException w:name="Medium Grid 2 Accent 4" w:uiPriority="68" w:semiHidden="0" w:unhideWhenUsed="0"/>
    <w:lsdException w:name="Medium Grid 2 Accent 5" w:uiPriority="68" w:semiHidden="0" w:unhideWhenUsed="0"/>
    <w:lsdException w:name="Medium Grid 2 Accent 6" w:uiPriority="68" w:semiHidden="0" w:unhideWhenUsed="0"/>
    <w:lsdException w:name="Medium Grid 3" w:uiPriority="69" w:semiHidden="0" w:unhideWhenUsed="0"/>
    <w:lsdException w:name="Medium Grid 3 Accent 1" w:uiPriority="69" w:semiHidden="0" w:unhideWhenUsed="0"/>
    <w:lsdException w:name="Medium Grid 3 Accent 2" w:uiPriority="69" w:semiHidden="0" w:unhideWhenUsed="0"/>
    <w:lsdException w:name="Medium Grid 3 Accent 3" w:uiPriority="69" w:semiHidden="0" w:unhideWhenUsed="0"/>
    <w:lsdException w:name="Medium Grid 3 Accent 4" w:uiPriority="69" w:semiHidden="0" w:unhideWhenUsed="0"/>
    <w:lsdException w:name="Medium Grid 3 Accent 5" w:uiPriority="69" w:semiHidden="0" w:unhideWhenUsed="0"/>
    <w:lsdException w:name="Medium Grid 3 Accent 6" w:uiPriority="69" w:semiHidden="0" w:unhideWhenUsed="0"/>
    <w:lsdException w:name="Medium List 1" w:uiPriority="65" w:semiHidden="0" w:unhideWhenUsed="0"/>
    <w:lsdException w:name="Medium List 1 Accent 1" w:uiPriority="65" w:semiHidden="0" w:unhideWhenUsed="0"/>
    <w:lsdException w:name="Medium List 1 Accent 2" w:uiPriority="65" w:semiHidden="0" w:unhideWhenUsed="0"/>
    <w:lsdException w:name="Medium List 1 Accent 3" w:uiPriority="65" w:semiHidden="0" w:unhideWhenUsed="0"/>
    <w:lsdException w:name="Medium List 1 Accent 4" w:uiPriority="65" w:semiHidden="0" w:unhideWhenUsed="0"/>
    <w:lsdException w:name="Medium List 1 Accent 5" w:uiPriority="65" w:semiHidden="0" w:unhideWhenUsed="0"/>
    <w:lsdException w:name="Medium List 1 Accent 6" w:uiPriority="65" w:semiHidden="0" w:unhideWhenUsed="0"/>
    <w:lsdException w:name="Medium List 2" w:uiPriority="66" w:semiHidden="0" w:unhideWhenUsed="0"/>
    <w:lsdException w:name="Medium List 2 Accent 1" w:uiPriority="66" w:semiHidden="0" w:unhideWhenUsed="0"/>
    <w:lsdException w:name="Medium List 2 Accent 2" w:uiPriority="66" w:semiHidden="0" w:unhideWhenUsed="0"/>
    <w:lsdException w:name="Medium List 2 Accent 3" w:uiPriority="66" w:semiHidden="0" w:unhideWhenUsed="0"/>
    <w:lsdException w:name="Medium List 2 Accent 4" w:uiPriority="66" w:semiHidden="0" w:unhideWhenUsed="0"/>
    <w:lsdException w:name="Medium List 2 Accent 5" w:uiPriority="66" w:semiHidden="0" w:unhideWhenUsed="0"/>
    <w:lsdException w:name="Medium List 2 Accent 6" w:uiPriority="66" w:semiHidden="0" w:unhideWhenUsed="0"/>
    <w:lsdException w:name="Medium Shading 1" w:uiPriority="63" w:semiHidden="0" w:unhideWhenUsed="0"/>
    <w:lsdException w:name="Medium Shading 1 Accent 1" w:uiPriority="63" w:semiHidden="0" w:unhideWhenUsed="0"/>
    <w:lsdException w:name="Medium Shading 1 Accent 2" w:uiPriority="63" w:semiHidden="0" w:unhideWhenUsed="0"/>
    <w:lsdException w:name="Medium Shading 1 Accent 3" w:uiPriority="63" w:semiHidden="0" w:unhideWhenUsed="0"/>
    <w:lsdException w:name="Medium Shading 1 Accent 4" w:uiPriority="63" w:semiHidden="0" w:unhideWhenUsed="0"/>
    <w:lsdException w:name="Medium Shading 1 Accent 5" w:uiPriority="63" w:semiHidden="0" w:unhideWhenUsed="0"/>
    <w:lsdException w:name="Medium Shading 1 Accent 6" w:uiPriority="63" w:semiHidden="0" w:unhideWhenUsed="0"/>
    <w:lsdException w:name="Medium Shading 2" w:uiPriority="64" w:semiHidden="0" w:unhideWhenUsed="0"/>
    <w:lsdException w:name="Medium Shading 2 Accent 1" w:uiPriority="64" w:semiHidden="0" w:unhideWhenUsed="0"/>
    <w:lsdException w:name="Medium Shading 2 Accent 2" w:uiPriority="64" w:semiHidden="0" w:unhideWhenUsed="0"/>
    <w:lsdException w:name="Medium Shading 2 Accent 3" w:uiPriority="64" w:semiHidden="0" w:unhideWhenUsed="0"/>
    <w:lsdException w:name="Medium Shading 2 Accent 4" w:uiPriority="64" w:semiHidden="0" w:unhideWhenUsed="0"/>
    <w:lsdException w:name="Medium Shading 2 Accent 5" w:uiPriority="64" w:semiHidden="0" w:unhideWhenUsed="0"/>
    <w:lsdException w:name="Medium Shading 2 Accent 6" w:uiPriority="64" w:semiHidden="0" w:unhideWhenUsed="0"/>
    <w:lsdException w:name="No Spacing" w:uiPriority="1" w:semiHidden="0" w:unhideWhenUsed="0" w:qFormat="1"/>
    <w:lsdException w:name="Normal" w:uiPriority="0" w:semiHidden="0" w:unhideWhenUsed="0" w:qFormat="1"/>
    <w:lsdException w:name="Placeholder Text" w:unhideWhenUsed="0"/>
    <w:lsdException w:name="Quote" w:uiPriority="29" w:semiHidden="0" w:unhideWhenUsed="0" w:qFormat="1"/>
    <w:lsdException w:name="Revision" w:unhideWhenUsed="0"/>
    <w:lsdException w:name="Strong" w:uiPriority="22" w:semiHidden="0" w:unhideWhenUsed="0" w:qFormat="1"/>
    <w:lsdException w:name="Subtitle" w:uiPriority="11" w:semiHidden="0" w:unhideWhenUsed="0" w:qFormat="1"/>
    <w:lsdException w:name="Subtle Emphasis" w:uiPriority="19" w:semiHidden="0" w:unhideWhenUsed="0" w:qFormat="1"/>
    <w:lsdException w:name="Subtle Reference" w:uiPriority="31" w:semiHidden="0" w:unhideWhenUsed="0" w:qFormat="1"/>
    <w:lsdException w:name="Table Grid" w:uiPriority="59" w:semiHidden="0" w:unhideWhenUsed="0"/>
    <w:lsdException w:name="Title" w:uiPriority="10"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TOC Heading" w:uiPriority="39" w:qFormat="1"/>
  </w:latentStyles>
  <w:style w:type="paragraph" w:styleId="BodyText">
    <w:name w:val="Body Text"/>
    <w:basedOn w:val="Normal"/>
    <w:link w:val="BodyTextChar"/>
    <w:uiPriority w:val="99"/>
    <w:unhideWhenUsed w:val="1"/>
    <w:rsid w:val="00AA1D8D"/>
    <w:pPr>
      <w:spacing w:after="120"/>
    </w:pPr>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character" w:styleId="BodyTextChar" w:customStyle="1">
    <w:name w:val="Body Text Char"/>
    <w:basedOn w:val="DefaultParagraphFont"/>
    <w:link w:val="BodyText"/>
    <w:uiPriority w:val="99"/>
    <w:rsid w:val="00AA1D8D"/>
  </w:style>
  <w:style w:type="character" w:styleId="BookTitle">
    <w:name w:val="Book Title"/>
    <w:basedOn w:val="DefaultParagraphFont"/>
    <w:uiPriority w:val="33"/>
    <w:qFormat w:val="1"/>
    <w:rsid w:val="00FC693F"/>
    <w:rPr>
      <w:b w:val="1"/>
      <w:smallCaps w:val="1"/>
      <w:spacing w:val="5"/>
      <w:bCs w:val="1"/>
    </w:rPr>
  </w:style>
  <w:style w:type="paragraph" w:styleId="Caption">
    <w:name w:val="caption"/>
    <w:basedOn w:val="Normal"/>
    <w:next w:val="Normal"/>
    <w:uiPriority w:val="35"/>
    <w:semiHidden w:val="1"/>
    <w:unhideWhenUsed w:val="1"/>
    <w:qFormat w:val="1"/>
    <w:rsid w:val="00FC693F"/>
    <w:pPr>
      <w:spacing w:line="240" w:lineRule="auto"/>
    </w:pPr>
    <w:rPr>
      <w:sz w:val="18"/>
      <w:color w:val="4F81BD" w:themeColor="accent1"/>
      <w:b w:val="1"/>
      <w:bCs w:val="1"/>
      <w:szCs w:val="18"/>
    </w:r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start w:w="108" w:type="dxa"/>
        <w:bottom w:w="0" w:type="dxa"/>
        <w:end w:w="108" w:type="dxa"/>
      </w:tblCellMar>
    </w:tblPr>
    <w:tcPr>
      <w:shd w:val="clear" w:color="auto" w:fill="CCCCCC" w:themeFill="text1" w:themeFillTint="33"/>
    </w:tcPr>
    <w:tblStylePr w:type="band1Horz">
      <w:tblPr/>
      <w:tcPr>
        <w:shd w:val="clear" w:color="auto" w:fill="808080" w:themeFill="text1" w:themeFillTint="7F"/>
      </w:tcPr>
    </w:tblStylePr>
    <w:tblStylePr w:type="band1Vert">
      <w:tblPr/>
      <w:tcPr>
        <w:shd w:val="clear" w:color="auto" w:fill="808080" w:themeFill="text1" w:themeFillTint="7F"/>
      </w:tcPr>
    </w:tblStylePr>
    <w:tblStylePr w:type="firstCol">
      <w:rPr>
        <w:color w:val="FFFFFF" w:themeColor="background1"/>
      </w:rPr>
      <w:tblPr/>
      <w:tcPr>
        <w:shd w:val="clear" w:color="auto" w:fill="000000" w:themeFill="text1" w:themeFillShade="BF"/>
      </w:tcPr>
    </w:tblStylePr>
    <w:tblStylePr w:type="firstRow">
      <w:rPr>
        <w:b w:val="1"/>
        <w:bCs w:val="1"/>
      </w:rPr>
      <w:tblPr/>
      <w:tcPr>
        <w:shd w:val="clear" w:color="auto" w:fill="999999" w:themeFill="text1" w:themeFillTint="66"/>
      </w:tcPr>
    </w:tblStylePr>
    <w:tblStylePr w:type="lastCol">
      <w:rPr>
        <w:color w:val="FFFFFF" w:themeColor="background1"/>
      </w:rPr>
      <w:tblPr/>
      <w:tcPr>
        <w:shd w:val="clear" w:color="auto" w:fill="000000" w:themeFill="text1" w:themeFillShade="BF"/>
      </w:tcPr>
    </w:tblStylePr>
    <w:tblStylePr w:type="lastRow">
      <w:rPr>
        <w:color w:val="000000" w:themeColor="text1"/>
        <w:b w:val="1"/>
        <w:bCs w:val="1"/>
      </w:rPr>
      <w:tblPr/>
      <w:tcPr>
        <w:shd w:val="clear" w:color="auto" w:fill="999999" w:themeFill="text1" w:themeFillTint="66"/>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start w:w="108" w:type="dxa"/>
        <w:bottom w:w="0" w:type="dxa"/>
        <w:end w:w="108" w:type="dxa"/>
      </w:tblCellMar>
    </w:tblPr>
    <w:tcPr>
      <w:shd w:val="clear" w:color="auto" w:fill="DBE5F1" w:themeFill="accent1" w:themeFillTint="33"/>
    </w:tcPr>
    <w:tblStylePr w:type="band1Horz">
      <w:tblPr/>
      <w:tcPr>
        <w:shd w:val="clear" w:color="auto" w:fill="A7BFDE" w:themeFill="accent1" w:themeFillTint="7F"/>
      </w:tcPr>
    </w:tblStylePr>
    <w:tblStylePr w:type="band1Vert">
      <w:tblPr/>
      <w:tcPr>
        <w:shd w:val="clear" w:color="auto" w:fill="A7BFDE" w:themeFill="accent1" w:themeFillTint="7F"/>
      </w:tcPr>
    </w:tblStylePr>
    <w:tblStylePr w:type="firstCol">
      <w:rPr>
        <w:color w:val="FFFFFF" w:themeColor="background1"/>
      </w:rPr>
      <w:tblPr/>
      <w:tcPr>
        <w:shd w:val="clear" w:color="auto" w:fill="365F91" w:themeFill="accent1" w:themeFillShade="BF"/>
      </w:tcPr>
    </w:tblStylePr>
    <w:tblStylePr w:type="firstRow">
      <w:rPr>
        <w:b w:val="1"/>
        <w:bCs w:val="1"/>
      </w:rPr>
      <w:tblPr/>
      <w:tcPr>
        <w:shd w:val="clear" w:color="auto" w:fill="B8CCE4" w:themeFill="accent1" w:themeFillTint="66"/>
      </w:tcPr>
    </w:tblStylePr>
    <w:tblStylePr w:type="lastCol">
      <w:rPr>
        <w:color w:val="FFFFFF" w:themeColor="background1"/>
      </w:rPr>
      <w:tblPr/>
      <w:tcPr>
        <w:shd w:val="clear" w:color="auto" w:fill="365F91" w:themeFill="accent1" w:themeFillShade="BF"/>
      </w:tcPr>
    </w:tblStylePr>
    <w:tblStylePr w:type="lastRow">
      <w:rPr>
        <w:color w:val="000000" w:themeColor="text1"/>
        <w:b w:val="1"/>
        <w:bCs w:val="1"/>
      </w:rPr>
      <w:tblPr/>
      <w:tcPr>
        <w:shd w:val="clear" w:color="auto" w:fill="B8CCE4" w:themeFill="accent1" w:themeFillTint="66"/>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start w:w="108" w:type="dxa"/>
        <w:bottom w:w="0" w:type="dxa"/>
        <w:end w:w="108" w:type="dxa"/>
      </w:tblCellMar>
    </w:tblPr>
    <w:tcPr>
      <w:shd w:val="clear" w:color="auto" w:fill="F2DBDB" w:themeFill="accent2" w:themeFillTint="33"/>
    </w:tc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firstCol">
      <w:rPr>
        <w:color w:val="FFFFFF" w:themeColor="background1"/>
      </w:rPr>
      <w:tblPr/>
      <w:tcPr>
        <w:shd w:val="clear" w:color="auto" w:fill="943634" w:themeFill="accent2" w:themeFillShade="BF"/>
      </w:tcPr>
    </w:tblStylePr>
    <w:tblStylePr w:type="firstRow">
      <w:rPr>
        <w:b w:val="1"/>
        <w:bCs w:val="1"/>
      </w:rPr>
      <w:tblPr/>
      <w:tcPr>
        <w:shd w:val="clear" w:color="auto" w:fill="E5B8B7" w:themeFill="accent2" w:themeFillTint="66"/>
      </w:tcPr>
    </w:tblStylePr>
    <w:tblStylePr w:type="lastCol">
      <w:rPr>
        <w:color w:val="FFFFFF" w:themeColor="background1"/>
      </w:rPr>
      <w:tblPr/>
      <w:tcPr>
        <w:shd w:val="clear" w:color="auto" w:fill="943634" w:themeFill="accent2" w:themeFillShade="BF"/>
      </w:tcPr>
    </w:tblStylePr>
    <w:tblStylePr w:type="lastRow">
      <w:rPr>
        <w:color w:val="000000" w:themeColor="text1"/>
        <w:b w:val="1"/>
        <w:bCs w:val="1"/>
      </w:rPr>
      <w:tblPr/>
      <w:tcPr>
        <w:shd w:val="clear" w:color="auto" w:fill="E5B8B7" w:themeFill="accent2" w:themeFillTint="66"/>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start w:w="108" w:type="dxa"/>
        <w:bottom w:w="0" w:type="dxa"/>
        <w:end w:w="108" w:type="dxa"/>
      </w:tblCellMar>
    </w:tblPr>
    <w:tcPr>
      <w:shd w:val="clear" w:color="auto" w:fill="EAF1DD" w:themeFill="accent3" w:themeFillTint="33"/>
    </w:tcPr>
    <w:tblStylePr w:type="band1Horz">
      <w:tblPr/>
      <w:tcPr>
        <w:shd w:val="clear" w:color="auto" w:fill="CDDDAC" w:themeFill="accent3" w:themeFillTint="7F"/>
      </w:tcPr>
    </w:tblStylePr>
    <w:tblStylePr w:type="band1Vert">
      <w:tblPr/>
      <w:tcPr>
        <w:shd w:val="clear" w:color="auto" w:fill="CDDDAC" w:themeFill="accent3" w:themeFillTint="7F"/>
      </w:tcPr>
    </w:tblStylePr>
    <w:tblStylePr w:type="firstCol">
      <w:rPr>
        <w:color w:val="FFFFFF" w:themeColor="background1"/>
      </w:rPr>
      <w:tblPr/>
      <w:tcPr>
        <w:shd w:val="clear" w:color="auto" w:fill="76923C" w:themeFill="accent3" w:themeFillShade="BF"/>
      </w:tcPr>
    </w:tblStylePr>
    <w:tblStylePr w:type="firstRow">
      <w:rPr>
        <w:b w:val="1"/>
        <w:bCs w:val="1"/>
      </w:rPr>
      <w:tblPr/>
      <w:tcPr>
        <w:shd w:val="clear" w:color="auto" w:fill="D6E3BC" w:themeFill="accent3" w:themeFillTint="66"/>
      </w:tcPr>
    </w:tblStylePr>
    <w:tblStylePr w:type="lastCol">
      <w:rPr>
        <w:color w:val="FFFFFF" w:themeColor="background1"/>
      </w:rPr>
      <w:tblPr/>
      <w:tcPr>
        <w:shd w:val="clear" w:color="auto" w:fill="76923C" w:themeFill="accent3" w:themeFillShade="BF"/>
      </w:tcPr>
    </w:tblStylePr>
    <w:tblStylePr w:type="lastRow">
      <w:rPr>
        <w:color w:val="000000" w:themeColor="text1"/>
        <w:b w:val="1"/>
        <w:bCs w:val="1"/>
      </w:rPr>
      <w:tblPr/>
      <w:tcPr>
        <w:shd w:val="clear" w:color="auto" w:fill="D6E3BC" w:themeFill="accent3" w:themeFillTint="66"/>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start w:w="108" w:type="dxa"/>
        <w:bottom w:w="0" w:type="dxa"/>
        <w:end w:w="108" w:type="dxa"/>
      </w:tblCellMar>
    </w:tblPr>
    <w:tcPr>
      <w:shd w:val="clear" w:color="auto" w:fill="E5DFEC" w:themeFill="accent4" w:themeFillTint="33"/>
    </w:tcPr>
    <w:tblStylePr w:type="band1Horz">
      <w:tblPr/>
      <w:tcPr>
        <w:shd w:val="clear" w:color="auto" w:fill="BFB1D0" w:themeFill="accent4" w:themeFillTint="7F"/>
      </w:tcPr>
    </w:tblStylePr>
    <w:tblStylePr w:type="band1Vert">
      <w:tblPr/>
      <w:tcPr>
        <w:shd w:val="clear" w:color="auto" w:fill="BFB1D0" w:themeFill="accent4" w:themeFillTint="7F"/>
      </w:tcPr>
    </w:tblStylePr>
    <w:tblStylePr w:type="firstCol">
      <w:rPr>
        <w:color w:val="FFFFFF" w:themeColor="background1"/>
      </w:rPr>
      <w:tblPr/>
      <w:tcPr>
        <w:shd w:val="clear" w:color="auto" w:fill="5F497A" w:themeFill="accent4" w:themeFillShade="BF"/>
      </w:tcPr>
    </w:tblStylePr>
    <w:tblStylePr w:type="firstRow">
      <w:rPr>
        <w:b w:val="1"/>
        <w:bCs w:val="1"/>
      </w:rPr>
      <w:tblPr/>
      <w:tcPr>
        <w:shd w:val="clear" w:color="auto" w:fill="CCC0D9" w:themeFill="accent4" w:themeFillTint="66"/>
      </w:tcPr>
    </w:tblStylePr>
    <w:tblStylePr w:type="lastCol">
      <w:rPr>
        <w:color w:val="FFFFFF" w:themeColor="background1"/>
      </w:rPr>
      <w:tblPr/>
      <w:tcPr>
        <w:shd w:val="clear" w:color="auto" w:fill="5F497A" w:themeFill="accent4" w:themeFillShade="BF"/>
      </w:tcPr>
    </w:tblStylePr>
    <w:tblStylePr w:type="lastRow">
      <w:rPr>
        <w:color w:val="000000" w:themeColor="text1"/>
        <w:b w:val="1"/>
        <w:bCs w:val="1"/>
      </w:rPr>
      <w:tblPr/>
      <w:tcPr>
        <w:shd w:val="clear" w:color="auto" w:fill="CCC0D9" w:themeFill="accent4" w:themeFillTint="66"/>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start w:w="108" w:type="dxa"/>
        <w:bottom w:w="0" w:type="dxa"/>
        <w:end w:w="108" w:type="dxa"/>
      </w:tblCellMar>
    </w:tblPr>
    <w:tcPr>
      <w:shd w:val="clear" w:color="auto" w:fill="DAEEF3" w:themeFill="accent5" w:themeFillTint="33"/>
    </w:tcPr>
    <w:tblStylePr w:type="band1Horz">
      <w:tblPr/>
      <w:tcPr>
        <w:shd w:val="clear" w:color="auto" w:fill="A5D5E2" w:themeFill="accent5" w:themeFillTint="7F"/>
      </w:tcPr>
    </w:tblStylePr>
    <w:tblStylePr w:type="band1Vert">
      <w:tblPr/>
      <w:tcPr>
        <w:shd w:val="clear" w:color="auto" w:fill="A5D5E2" w:themeFill="accent5" w:themeFillTint="7F"/>
      </w:tcPr>
    </w:tblStylePr>
    <w:tblStylePr w:type="firstCol">
      <w:rPr>
        <w:color w:val="FFFFFF" w:themeColor="background1"/>
      </w:rPr>
      <w:tblPr/>
      <w:tcPr>
        <w:shd w:val="clear" w:color="auto" w:fill="31849B" w:themeFill="accent5" w:themeFillShade="BF"/>
      </w:tcPr>
    </w:tblStylePr>
    <w:tblStylePr w:type="firstRow">
      <w:rPr>
        <w:b w:val="1"/>
        <w:bCs w:val="1"/>
      </w:rPr>
      <w:tblPr/>
      <w:tcPr>
        <w:shd w:val="clear" w:color="auto" w:fill="B6DDE8" w:themeFill="accent5" w:themeFillTint="66"/>
      </w:tcPr>
    </w:tblStylePr>
    <w:tblStylePr w:type="lastCol">
      <w:rPr>
        <w:color w:val="FFFFFF" w:themeColor="background1"/>
      </w:rPr>
      <w:tblPr/>
      <w:tcPr>
        <w:shd w:val="clear" w:color="auto" w:fill="31849B" w:themeFill="accent5" w:themeFillShade="BF"/>
      </w:tcPr>
    </w:tblStylePr>
    <w:tblStylePr w:type="lastRow">
      <w:rPr>
        <w:color w:val="000000" w:themeColor="text1"/>
        <w:b w:val="1"/>
        <w:bCs w:val="1"/>
      </w:rPr>
      <w:tblPr/>
      <w:tcPr>
        <w:shd w:val="clear" w:color="auto" w:fill="B6DDE8" w:themeFill="accent5" w:themeFillTint="66"/>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start w:w="108" w:type="dxa"/>
        <w:bottom w:w="0" w:type="dxa"/>
        <w:end w:w="108" w:type="dxa"/>
      </w:tblCellMar>
    </w:tblPr>
    <w:tcPr>
      <w:shd w:val="clear" w:color="auto" w:fill="FDE9D9" w:themeFill="accent6" w:themeFillTint="33"/>
    </w:tcPr>
    <w:tblStylePr w:type="band1Horz">
      <w:tblPr/>
      <w:tcPr>
        <w:shd w:val="clear" w:color="auto" w:fill="FBCAA2" w:themeFill="accent6" w:themeFillTint="7F"/>
      </w:tcPr>
    </w:tblStylePr>
    <w:tblStylePr w:type="band1Vert">
      <w:tblPr/>
      <w:tcPr>
        <w:shd w:val="clear" w:color="auto" w:fill="FBCAA2" w:themeFill="accent6" w:themeFillTint="7F"/>
      </w:tcPr>
    </w:tblStylePr>
    <w:tblStylePr w:type="firstCol">
      <w:rPr>
        <w:color w:val="FFFFFF" w:themeColor="background1"/>
      </w:rPr>
      <w:tblPr/>
      <w:tcPr>
        <w:shd w:val="clear" w:color="auto" w:fill="E36C0A" w:themeFill="accent6" w:themeFillShade="BF"/>
      </w:tcPr>
    </w:tblStylePr>
    <w:tblStylePr w:type="firstRow">
      <w:rPr>
        <w:b w:val="1"/>
        <w:bCs w:val="1"/>
      </w:rPr>
      <w:tblPr/>
      <w:tcPr>
        <w:shd w:val="clear" w:color="auto" w:fill="FBD4B4" w:themeFill="accent6" w:themeFillTint="66"/>
      </w:tcPr>
    </w:tblStylePr>
    <w:tblStylePr w:type="lastCol">
      <w:rPr>
        <w:color w:val="FFFFFF" w:themeColor="background1"/>
      </w:rPr>
      <w:tblPr/>
      <w:tcPr>
        <w:shd w:val="clear" w:color="auto" w:fill="E36C0A" w:themeFill="accent6" w:themeFillShade="BF"/>
      </w:tcPr>
    </w:tblStylePr>
    <w:tblStylePr w:type="lastRow">
      <w:rPr>
        <w:color w:val="000000" w:themeColor="text1"/>
        <w:b w:val="1"/>
        <w:bCs w:val="1"/>
      </w:rPr>
      <w:tblPr/>
      <w:tcPr>
        <w:shd w:val="clear" w:color="auto" w:fill="FBD4B4" w:themeFill="accent6" w:themeFillTint="66"/>
      </w:tc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start w:w="108" w:type="dxa"/>
        <w:bottom w:w="0" w:type="dxa"/>
        <w:end w:w="108" w:type="dxa"/>
      </w:tblCellMar>
    </w:tblPr>
    <w:tcPr>
      <w:shd w:val="clear" w:color="auto" w:fill="E6E6E6" w:themeFill="text1" w:themeFillTint="19"/>
    </w:tcPr>
    <w:tblStylePr w:type="band1Horz">
      <w:tblPr/>
      <w:tcPr>
        <w:shd w:val="clear" w:color="auto" w:fill="CCCCCC" w:themeFill="text1" w:themeFillTint="33"/>
      </w:tcPr>
    </w:tblStylePr>
    <w:tblStylePr w:type="band1Vert">
      <w:tblPr/>
      <w:tcPr>
        <w:tcBorders>
          <w:top w:val="nil" w:sz="0"/>
          <w:start w:val="nil" w:sz="0"/>
          <w:bottom w:val="nil" w:sz="0"/>
          <w:end w:val="nil" w:sz="0"/>
          <w:insideH w:val="nil" w:sz="0"/>
          <w:insideV w:val="nil" w:sz="0"/>
        </w:tcBorders>
        <w:shd w:val="clear" w:color="auto" w:fill="C0C0C0" w:themeFill="text1" w:themeFillTint="3F"/>
      </w:tcPr>
    </w:tblStylePr>
    <w:tblStylePr w:type="firstCol">
      <w:rPr>
        <w:b w:val="1"/>
        <w:bCs w:val="1"/>
      </w:rPr>
    </w:tblStylePr>
    <w:tblStylePr w:type="firstRow">
      <w:rPr>
        <w:color w:val="FFFFFF" w:themeColor="background1"/>
        <w:b w:val="1"/>
        <w:bCs w:val="1"/>
      </w:rPr>
      <w:tblPr/>
      <w:tcPr>
        <w:tcBorders>
          <w:bottom w:val="single" w:color="FFFFFF" w:themeColor="background1" w:sz="12" w:space="0"/>
        </w:tcBorders>
        <w:shd w:val="clear" w:color="auto" w:fill="9E3A38" w:themeFill="accent2" w:themeFillShade="CC"/>
      </w:tcPr>
    </w:tblStylePr>
    <w:tblStylePr w:type="lastCol">
      <w:rPr>
        <w:b w:val="1"/>
        <w:bCs w:val="1"/>
      </w:rPr>
    </w:tblStylePr>
    <w:tblStylePr w:type="lastRow">
      <w:rPr>
        <w:color w:val="9E3A38" w:themeColor="accent2" w:themeShade="CC"/>
        <w:b w:val="1"/>
        <w:bCs w:val="1"/>
      </w:rPr>
      <w:tblPr/>
      <w:tcPr>
        <w:tcBorders>
          <w:top w:val="single" w:color="000000" w:themeColor="text1" w:sz="12" w:space="0"/>
        </w:tcBorders>
        <w:shd w:val="clear" w:color="auto" w:fill="FFFFFF" w:themeFill="background1"/>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start w:w="108" w:type="dxa"/>
        <w:bottom w:w="0" w:type="dxa"/>
        <w:end w:w="108" w:type="dxa"/>
      </w:tblCellMar>
    </w:tblPr>
    <w:tcPr>
      <w:shd w:val="clear" w:color="auto" w:fill="EDF2F8" w:themeFill="accent1" w:themeFillTint="19"/>
    </w:tcPr>
    <w:tblStylePr w:type="band1Horz">
      <w:tblPr/>
      <w:tcPr>
        <w:shd w:val="clear" w:color="auto" w:fill="DBE5F1" w:themeFill="accent1" w:themeFillTint="33"/>
      </w:tcPr>
    </w:tblStylePr>
    <w:tblStylePr w:type="band1Vert">
      <w:tblPr/>
      <w:tcPr>
        <w:tcBorders>
          <w:top w:val="nil" w:sz="0"/>
          <w:start w:val="nil" w:sz="0"/>
          <w:bottom w:val="nil" w:sz="0"/>
          <w:end w:val="nil" w:sz="0"/>
          <w:insideH w:val="nil" w:sz="0"/>
          <w:insideV w:val="nil" w:sz="0"/>
        </w:tcBorders>
        <w:shd w:val="clear" w:color="auto" w:fill="D3DFEE" w:themeFill="accent1" w:themeFillTint="3F"/>
      </w:tcPr>
    </w:tblStylePr>
    <w:tblStylePr w:type="firstCol">
      <w:rPr>
        <w:b w:val="1"/>
        <w:bCs w:val="1"/>
      </w:rPr>
    </w:tblStylePr>
    <w:tblStylePr w:type="firstRow">
      <w:rPr>
        <w:color w:val="FFFFFF" w:themeColor="background1"/>
        <w:b w:val="1"/>
        <w:bCs w:val="1"/>
      </w:rPr>
      <w:tblPr/>
      <w:tcPr>
        <w:tcBorders>
          <w:bottom w:val="single" w:color="FFFFFF" w:themeColor="background1" w:sz="12" w:space="0"/>
        </w:tcBorders>
        <w:shd w:val="clear" w:color="auto" w:fill="9E3A38" w:themeFill="accent2" w:themeFillShade="CC"/>
      </w:tcPr>
    </w:tblStylePr>
    <w:tblStylePr w:type="lastCol">
      <w:rPr>
        <w:b w:val="1"/>
        <w:bCs w:val="1"/>
      </w:rPr>
    </w:tblStylePr>
    <w:tblStylePr w:type="lastRow">
      <w:rPr>
        <w:color w:val="9E3A38" w:themeColor="accent2" w:themeShade="CC"/>
        <w:b w:val="1"/>
        <w:bCs w:val="1"/>
      </w:rPr>
      <w:tblPr/>
      <w:tcPr>
        <w:tcBorders>
          <w:top w:val="single" w:color="000000" w:themeColor="text1" w:sz="12" w:space="0"/>
        </w:tcBorders>
        <w:shd w:val="clear" w:color="auto" w:fill="FFFFFF" w:themeFill="background1"/>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start w:w="108" w:type="dxa"/>
        <w:bottom w:w="0" w:type="dxa"/>
        <w:end w:w="108" w:type="dxa"/>
      </w:tblCellMar>
    </w:tblPr>
    <w:tcPr>
      <w:shd w:val="clear" w:color="auto" w:fill="F8EDED" w:themeFill="accent2" w:themeFillTint="19"/>
    </w:tcPr>
    <w:tblStylePr w:type="band1Horz">
      <w:tblPr/>
      <w:tcPr>
        <w:shd w:val="clear" w:color="auto" w:fill="F2DBDB" w:themeFill="accent2" w:themeFillTint="33"/>
      </w:tcPr>
    </w:tblStylePr>
    <w:tblStylePr w:type="band1Vert">
      <w:tblPr/>
      <w:tcPr>
        <w:tcBorders>
          <w:top w:val="nil" w:sz="0"/>
          <w:start w:val="nil" w:sz="0"/>
          <w:bottom w:val="nil" w:sz="0"/>
          <w:end w:val="nil" w:sz="0"/>
          <w:insideH w:val="nil" w:sz="0"/>
          <w:insideV w:val="nil" w:sz="0"/>
        </w:tcBorders>
        <w:shd w:val="clear" w:color="auto" w:fill="EFD3D2" w:themeFill="accent2" w:themeFillTint="3F"/>
      </w:tcPr>
    </w:tblStylePr>
    <w:tblStylePr w:type="firstCol">
      <w:rPr>
        <w:b w:val="1"/>
        <w:bCs w:val="1"/>
      </w:rPr>
    </w:tblStylePr>
    <w:tblStylePr w:type="firstRow">
      <w:rPr>
        <w:color w:val="FFFFFF" w:themeColor="background1"/>
        <w:b w:val="1"/>
        <w:bCs w:val="1"/>
      </w:rPr>
      <w:tblPr/>
      <w:tcPr>
        <w:tcBorders>
          <w:bottom w:val="single" w:color="FFFFFF" w:themeColor="background1" w:sz="12" w:space="0"/>
        </w:tcBorders>
        <w:shd w:val="clear" w:color="auto" w:fill="9E3A38" w:themeFill="accent2" w:themeFillShade="CC"/>
      </w:tcPr>
    </w:tblStylePr>
    <w:tblStylePr w:type="lastCol">
      <w:rPr>
        <w:b w:val="1"/>
        <w:bCs w:val="1"/>
      </w:rPr>
    </w:tblStylePr>
    <w:tblStylePr w:type="lastRow">
      <w:rPr>
        <w:color w:val="9E3A38" w:themeColor="accent2" w:themeShade="CC"/>
        <w:b w:val="1"/>
        <w:bCs w:val="1"/>
      </w:rPr>
      <w:tblPr/>
      <w:tcPr>
        <w:tcBorders>
          <w:top w:val="single" w:color="000000" w:themeColor="text1" w:sz="12" w:space="0"/>
        </w:tcBorders>
        <w:shd w:val="clear" w:color="auto" w:fill="FFFFFF" w:themeFill="background1"/>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start w:w="108" w:type="dxa"/>
        <w:bottom w:w="0" w:type="dxa"/>
        <w:end w:w="108" w:type="dxa"/>
      </w:tblCellMar>
    </w:tblPr>
    <w:tcPr>
      <w:shd w:val="clear" w:color="auto" w:fill="F5F8EE" w:themeFill="accent3" w:themeFillTint="19"/>
    </w:tcPr>
    <w:tblStylePr w:type="band1Horz">
      <w:tblPr/>
      <w:tcPr>
        <w:shd w:val="clear" w:color="auto" w:fill="EAF1DD" w:themeFill="accent3" w:themeFillTint="33"/>
      </w:tcPr>
    </w:tblStylePr>
    <w:tblStylePr w:type="band1Vert">
      <w:tblPr/>
      <w:tcPr>
        <w:tcBorders>
          <w:top w:val="nil" w:sz="0"/>
          <w:start w:val="nil" w:sz="0"/>
          <w:bottom w:val="nil" w:sz="0"/>
          <w:end w:val="nil" w:sz="0"/>
          <w:insideH w:val="nil" w:sz="0"/>
          <w:insideV w:val="nil" w:sz="0"/>
        </w:tcBorders>
        <w:shd w:val="clear" w:color="auto" w:fill="E6EED5" w:themeFill="accent3" w:themeFillTint="3F"/>
      </w:tcPr>
    </w:tblStylePr>
    <w:tblStylePr w:type="firstCol">
      <w:rPr>
        <w:b w:val="1"/>
        <w:bCs w:val="1"/>
      </w:rPr>
    </w:tblStylePr>
    <w:tblStylePr w:type="firstRow">
      <w:rPr>
        <w:color w:val="FFFFFF" w:themeColor="background1"/>
        <w:b w:val="1"/>
        <w:bCs w:val="1"/>
      </w:rPr>
      <w:tblPr/>
      <w:tcPr>
        <w:tcBorders>
          <w:bottom w:val="single" w:color="FFFFFF" w:themeColor="background1" w:sz="12" w:space="0"/>
        </w:tcBorders>
        <w:shd w:val="clear" w:color="auto" w:fill="664E82" w:themeFill="accent4" w:themeFillShade="CC"/>
      </w:tcPr>
    </w:tblStylePr>
    <w:tblStylePr w:type="lastCol">
      <w:rPr>
        <w:b w:val="1"/>
        <w:bCs w:val="1"/>
      </w:rPr>
    </w:tblStylePr>
    <w:tblStylePr w:type="lastRow">
      <w:rPr>
        <w:color w:val="664E82" w:themeColor="accent4" w:themeShade="CC"/>
        <w:b w:val="1"/>
        <w:bCs w:val="1"/>
      </w:rPr>
      <w:tblPr/>
      <w:tcPr>
        <w:tcBorders>
          <w:top w:val="single" w:color="000000" w:themeColor="text1" w:sz="12" w:space="0"/>
        </w:tcBorders>
        <w:shd w:val="clear" w:color="auto" w:fill="FFFFFF" w:themeFill="background1"/>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start w:w="108" w:type="dxa"/>
        <w:bottom w:w="0" w:type="dxa"/>
        <w:end w:w="108" w:type="dxa"/>
      </w:tblCellMar>
    </w:tblPr>
    <w:tcPr>
      <w:shd w:val="clear" w:color="auto" w:fill="F2EFF6" w:themeFill="accent4" w:themeFillTint="19"/>
    </w:tcPr>
    <w:tblStylePr w:type="band1Horz">
      <w:tblPr/>
      <w:tcPr>
        <w:shd w:val="clear" w:color="auto" w:fill="E5DFEC" w:themeFill="accent4" w:themeFillTint="33"/>
      </w:tcPr>
    </w:tblStylePr>
    <w:tblStylePr w:type="band1Vert">
      <w:tblPr/>
      <w:tcPr>
        <w:tcBorders>
          <w:top w:val="nil" w:sz="0"/>
          <w:start w:val="nil" w:sz="0"/>
          <w:bottom w:val="nil" w:sz="0"/>
          <w:end w:val="nil" w:sz="0"/>
          <w:insideH w:val="nil" w:sz="0"/>
          <w:insideV w:val="nil" w:sz="0"/>
        </w:tcBorders>
        <w:shd w:val="clear" w:color="auto" w:fill="DFD8E8" w:themeFill="accent4" w:themeFillTint="3F"/>
      </w:tcPr>
    </w:tblStylePr>
    <w:tblStylePr w:type="firstCol">
      <w:rPr>
        <w:b w:val="1"/>
        <w:bCs w:val="1"/>
      </w:rPr>
    </w:tblStylePr>
    <w:tblStylePr w:type="firstRow">
      <w:rPr>
        <w:color w:val="FFFFFF" w:themeColor="background1"/>
        <w:b w:val="1"/>
        <w:bCs w:val="1"/>
      </w:rPr>
      <w:tblPr/>
      <w:tcPr>
        <w:tcBorders>
          <w:bottom w:val="single" w:color="FFFFFF" w:themeColor="background1" w:sz="12" w:space="0"/>
        </w:tcBorders>
        <w:shd w:val="clear" w:color="auto" w:fill="7E9C40" w:themeFill="accent3" w:themeFillShade="CC"/>
      </w:tcPr>
    </w:tblStylePr>
    <w:tblStylePr w:type="lastCol">
      <w:rPr>
        <w:b w:val="1"/>
        <w:bCs w:val="1"/>
      </w:rPr>
    </w:tblStylePr>
    <w:tblStylePr w:type="lastRow">
      <w:rPr>
        <w:color w:val="7E9C40" w:themeColor="accent3" w:themeShade="CC"/>
        <w:b w:val="1"/>
        <w:bCs w:val="1"/>
      </w:rPr>
      <w:tblPr/>
      <w:tcPr>
        <w:tcBorders>
          <w:top w:val="single" w:color="000000" w:themeColor="text1" w:sz="12" w:space="0"/>
        </w:tcBorders>
        <w:shd w:val="clear" w:color="auto" w:fill="FFFFFF" w:themeFill="background1"/>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start w:w="108" w:type="dxa"/>
        <w:bottom w:w="0" w:type="dxa"/>
        <w:end w:w="108" w:type="dxa"/>
      </w:tblCellMar>
    </w:tblPr>
    <w:tcPr>
      <w:shd w:val="clear" w:color="auto" w:fill="EDF6F9" w:themeFill="accent5" w:themeFillTint="19"/>
    </w:tcPr>
    <w:tblStylePr w:type="band1Horz">
      <w:tblPr/>
      <w:tcPr>
        <w:shd w:val="clear" w:color="auto" w:fill="DAEEF3" w:themeFill="accent5" w:themeFillTint="33"/>
      </w:tcPr>
    </w:tblStylePr>
    <w:tblStylePr w:type="band1Vert">
      <w:tblPr/>
      <w:tcPr>
        <w:tcBorders>
          <w:top w:val="nil" w:sz="0"/>
          <w:start w:val="nil" w:sz="0"/>
          <w:bottom w:val="nil" w:sz="0"/>
          <w:end w:val="nil" w:sz="0"/>
          <w:insideH w:val="nil" w:sz="0"/>
          <w:insideV w:val="nil" w:sz="0"/>
        </w:tcBorders>
        <w:shd w:val="clear" w:color="auto" w:fill="D2EAF1" w:themeFill="accent5" w:themeFillTint="3F"/>
      </w:tcPr>
    </w:tblStylePr>
    <w:tblStylePr w:type="firstCol">
      <w:rPr>
        <w:b w:val="1"/>
        <w:bCs w:val="1"/>
      </w:rPr>
    </w:tblStylePr>
    <w:tblStylePr w:type="firstRow">
      <w:rPr>
        <w:color w:val="FFFFFF" w:themeColor="background1"/>
        <w:b w:val="1"/>
        <w:bCs w:val="1"/>
      </w:rPr>
      <w:tblPr/>
      <w:tcPr>
        <w:tcBorders>
          <w:bottom w:val="single" w:color="FFFFFF" w:themeColor="background1" w:sz="12" w:space="0"/>
        </w:tcBorders>
        <w:shd w:val="clear" w:color="auto" w:fill="F2730A" w:themeFill="accent6" w:themeFillShade="CC"/>
      </w:tcPr>
    </w:tblStylePr>
    <w:tblStylePr w:type="lastCol">
      <w:rPr>
        <w:b w:val="1"/>
        <w:bCs w:val="1"/>
      </w:rPr>
    </w:tblStylePr>
    <w:tblStylePr w:type="lastRow">
      <w:rPr>
        <w:color w:val="F2730A" w:themeColor="accent6" w:themeShade="CC"/>
        <w:b w:val="1"/>
        <w:bCs w:val="1"/>
      </w:rPr>
      <w:tblPr/>
      <w:tcPr>
        <w:tcBorders>
          <w:top w:val="single" w:color="000000" w:themeColor="text1" w:sz="12" w:space="0"/>
        </w:tcBorders>
        <w:shd w:val="clear" w:color="auto" w:fill="FFFFFF" w:themeFill="background1"/>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start w:w="108" w:type="dxa"/>
        <w:bottom w:w="0" w:type="dxa"/>
        <w:end w:w="108" w:type="dxa"/>
      </w:tblCellMar>
    </w:tblPr>
    <w:tcPr>
      <w:shd w:val="clear" w:color="auto" w:fill="FEF4EC" w:themeFill="accent6" w:themeFillTint="19"/>
    </w:tcPr>
    <w:tblStylePr w:type="band1Horz">
      <w:tblPr/>
      <w:tcPr>
        <w:shd w:val="clear" w:color="auto" w:fill="FDE9D9" w:themeFill="accent6" w:themeFillTint="33"/>
      </w:tcPr>
    </w:tblStylePr>
    <w:tblStylePr w:type="band1Vert">
      <w:tblPr/>
      <w:tcPr>
        <w:tcBorders>
          <w:top w:val="nil" w:sz="0"/>
          <w:start w:val="nil" w:sz="0"/>
          <w:bottom w:val="nil" w:sz="0"/>
          <w:end w:val="nil" w:sz="0"/>
          <w:insideH w:val="nil" w:sz="0"/>
          <w:insideV w:val="nil" w:sz="0"/>
        </w:tcBorders>
        <w:shd w:val="clear" w:color="auto" w:fill="FDE4D0" w:themeFill="accent6" w:themeFillTint="3F"/>
      </w:tcPr>
    </w:tblStylePr>
    <w:tblStylePr w:type="firstCol">
      <w:rPr>
        <w:b w:val="1"/>
        <w:bCs w:val="1"/>
      </w:rPr>
    </w:tblStylePr>
    <w:tblStylePr w:type="firstRow">
      <w:rPr>
        <w:color w:val="FFFFFF" w:themeColor="background1"/>
        <w:b w:val="1"/>
        <w:bCs w:val="1"/>
      </w:rPr>
      <w:tblPr/>
      <w:tcPr>
        <w:tcBorders>
          <w:bottom w:val="single" w:color="FFFFFF" w:themeColor="background1" w:sz="12" w:space="0"/>
        </w:tcBorders>
        <w:shd w:val="clear" w:color="auto" w:fill="348DA5" w:themeFill="accent5" w:themeFillShade="CC"/>
      </w:tcPr>
    </w:tblStylePr>
    <w:tblStylePr w:type="lastCol">
      <w:rPr>
        <w:b w:val="1"/>
        <w:bCs w:val="1"/>
      </w:rPr>
    </w:tblStylePr>
    <w:tblStylePr w:type="lastRow">
      <w:rPr>
        <w:color w:val="348DA5" w:themeColor="accent5" w:themeShade="CC"/>
        <w:b w:val="1"/>
        <w:bCs w:val="1"/>
      </w:rPr>
      <w:tblPr/>
      <w:tcPr>
        <w:tcBorders>
          <w:top w:val="single" w:color="000000" w:themeColor="text1" w:sz="12" w:space="0"/>
        </w:tcBorders>
        <w:shd w:val="clear" w:color="auto" w:fill="FFFFFF" w:themeFill="background1"/>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start w:w="108" w:type="dxa"/>
        <w:bottom w:w="0" w:type="dxa"/>
        <w:end w:w="108" w:type="dxa"/>
      </w:tblCellMar>
    </w:tblPr>
    <w:tcPr>
      <w:shd w:val="clear" w:color="auto" w:fill="E6E6E6" w:themeFill="text1" w:themeFillTint="19"/>
    </w:tcPr>
    <w:tblStylePr w:type="band1Horz">
      <w:tblPr/>
      <w:tcPr>
        <w:shd w:val="clear" w:color="auto" w:fill="808080" w:themeFill="text1" w:themeFillTint="7F"/>
      </w:tcPr>
    </w:tblStylePr>
    <w:tblStylePr w:type="band1Vert">
      <w:tblPr/>
      <w:tcPr>
        <w:shd w:val="clear" w:color="auto" w:fill="999999" w:themeFill="text1" w:themeFillTint="66"/>
      </w:tcPr>
    </w:tblStylePr>
    <w:tblStylePr w:type="firstCol">
      <w:rPr>
        <w:color w:val="FFFFFF" w:themeColor="background1"/>
      </w:rPr>
      <w:tblPr/>
      <w:tcPr>
        <w:tcBorders>
          <w:top w:val="nil" w:sz="0"/>
          <w:start w:val="nil" w:sz="0"/>
          <w:bottom w:val="nil" w:sz="0"/>
          <w:end w:val="nil" w:sz="0"/>
          <w:insideH w:val="single" w:color="000000" w:themeColor="text1" w:themeShade="99" w:sz="4" w:space="0"/>
          <w:insideV w:val="nil" w:sz="0"/>
        </w:tcBorders>
        <w:shd w:val="clear" w:color="auto" w:fill="000000" w:themeFill="text1" w:themeFillShade="99"/>
      </w:tcPr>
    </w:tblStylePr>
    <w:tblStylePr w:type="firstRow">
      <w:rPr>
        <w:b w:val="1"/>
        <w:bCs w:val="1"/>
      </w:rPr>
      <w:tblPr/>
      <w:tcPr>
        <w:tcBorders>
          <w:top w:val="nil" w:sz="0"/>
          <w:start w:val="nil" w:sz="0"/>
          <w:bottom w:val="single" w:color="C0504D" w:themeColor="accent2" w:sz="24" w:space="0"/>
          <w:end w:val="nil" w:sz="0"/>
          <w:insideH w:val="nil" w:sz="0"/>
          <w:insideV w:val="nil" w:sz="0"/>
        </w:tcBorders>
        <w:shd w:val="clear" w:color="auto" w:fill="FFFFFF" w:themeFill="background1"/>
      </w:tcPr>
    </w:tblStylePr>
    <w:tblStylePr w:type="lastCol">
      <w:rPr>
        <w:color w:val="FFFFFF" w:themeColor="background1"/>
      </w:rPr>
      <w:tblPr/>
      <w:tcPr>
        <w:tcBorders>
          <w:top w:val="nil" w:sz="0"/>
          <w:start w:val="nil" w:sz="0"/>
          <w:bottom w:val="nil" w:sz="0"/>
          <w:end w:val="nil" w:sz="0"/>
          <w:insideH w:val="nil" w:sz="0"/>
          <w:insideV w:val="nil" w:sz="0"/>
        </w:tcBorders>
        <w:shd w:val="clear" w:color="auto" w:fill="000000" w:themeFill="text1" w:themeFillShade="BF"/>
      </w:tcPr>
    </w:tblStylePr>
    <w:tblStylePr w:type="lastRow">
      <w:rPr>
        <w:color w:val="FFFFFF" w:themeColor="background1"/>
        <w:b w:val="1"/>
        <w:bCs w:val="1"/>
      </w:rPr>
      <w:tblPr/>
      <w:tcPr>
        <w:tcBorders>
          <w:top w:val="single" w:color="FFFFFF" w:themeColor="background1" w:sz="6" w:space="0"/>
        </w:tcBorders>
        <w:shd w:val="clear" w:color="auto" w:fill="000000" w:themeFill="text1" w:themeFillShade="99"/>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start w:w="108" w:type="dxa"/>
        <w:bottom w:w="0" w:type="dxa"/>
        <w:end w:w="108" w:type="dxa"/>
      </w:tblCellMar>
    </w:tblPr>
    <w:tcPr>
      <w:shd w:val="clear" w:color="auto" w:fill="EDF2F8" w:themeFill="accent1" w:themeFillTint="19"/>
    </w:tcPr>
    <w:tblStylePr w:type="band1Horz">
      <w:tblPr/>
      <w:tcPr>
        <w:shd w:val="clear" w:color="auto" w:fill="A7BFDE" w:themeFill="accent1" w:themeFillTint="7F"/>
      </w:tcPr>
    </w:tblStylePr>
    <w:tblStylePr w:type="band1Vert">
      <w:tblPr/>
      <w:tcPr>
        <w:shd w:val="clear" w:color="auto" w:fill="B8CCE4" w:themeFill="accent1" w:themeFillTint="66"/>
      </w:tcPr>
    </w:tblStylePr>
    <w:tblStylePr w:type="firstCol">
      <w:rPr>
        <w:color w:val="FFFFFF" w:themeColor="background1"/>
      </w:rPr>
      <w:tblPr/>
      <w:tcPr>
        <w:tcBorders>
          <w:top w:val="nil" w:sz="0"/>
          <w:start w:val="nil" w:sz="0"/>
          <w:bottom w:val="nil" w:sz="0"/>
          <w:end w:val="nil" w:sz="0"/>
          <w:insideH w:val="single" w:color="2C4C74" w:themeColor="accent1" w:themeShade="99" w:sz="4" w:space="0"/>
          <w:insideV w:val="nil" w:sz="0"/>
        </w:tcBorders>
        <w:shd w:val="clear" w:color="auto" w:fill="2C4C74" w:themeFill="accent1" w:themeFillShade="99"/>
      </w:tcPr>
    </w:tblStylePr>
    <w:tblStylePr w:type="firstRow">
      <w:rPr>
        <w:b w:val="1"/>
        <w:bCs w:val="1"/>
      </w:rPr>
      <w:tblPr/>
      <w:tcPr>
        <w:tcBorders>
          <w:top w:val="nil" w:sz="0"/>
          <w:start w:val="nil" w:sz="0"/>
          <w:bottom w:val="single" w:color="C0504D" w:themeColor="accent2" w:sz="24" w:space="0"/>
          <w:end w:val="nil" w:sz="0"/>
          <w:insideH w:val="nil" w:sz="0"/>
          <w:insideV w:val="nil" w:sz="0"/>
        </w:tcBorders>
        <w:shd w:val="clear" w:color="auto" w:fill="FFFFFF" w:themeFill="background1"/>
      </w:tcPr>
    </w:tblStylePr>
    <w:tblStylePr w:type="lastCol">
      <w:rPr>
        <w:color w:val="FFFFFF" w:themeColor="background1"/>
      </w:rPr>
      <w:tblPr/>
      <w:tcPr>
        <w:tcBorders>
          <w:top w:val="nil" w:sz="0"/>
          <w:start w:val="nil" w:sz="0"/>
          <w:bottom w:val="nil" w:sz="0"/>
          <w:end w:val="nil" w:sz="0"/>
          <w:insideH w:val="nil" w:sz="0"/>
          <w:insideV w:val="nil" w:sz="0"/>
        </w:tcBorders>
        <w:shd w:val="clear" w:color="auto" w:fill="2C4C74" w:themeFill="accent1" w:themeFillShade="99"/>
      </w:tcPr>
    </w:tblStylePr>
    <w:tblStylePr w:type="lastRow">
      <w:rPr>
        <w:color w:val="FFFFFF" w:themeColor="background1"/>
        <w:b w:val="1"/>
        <w:bCs w:val="1"/>
      </w:rPr>
      <w:tblPr/>
      <w:tcPr>
        <w:tcBorders>
          <w:top w:val="single" w:color="FFFFFF" w:themeColor="background1" w:sz="6" w:space="0"/>
        </w:tcBorders>
        <w:shd w:val="clear" w:color="auto" w:fill="2C4C74" w:themeFill="accent1" w:themeFillShade="99"/>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start w:w="108" w:type="dxa"/>
        <w:bottom w:w="0" w:type="dxa"/>
        <w:end w:w="108" w:type="dxa"/>
      </w:tblCellMar>
    </w:tblPr>
    <w:tcPr>
      <w:shd w:val="clear" w:color="auto" w:fill="F8EDED" w:themeFill="accent2" w:themeFillTint="19"/>
    </w:tcPr>
    <w:tblStylePr w:type="band1Horz">
      <w:tblPr/>
      <w:tcPr>
        <w:shd w:val="clear" w:color="auto" w:fill="DFA7A6" w:themeFill="accent2" w:themeFillTint="7F"/>
      </w:tcPr>
    </w:tblStylePr>
    <w:tblStylePr w:type="band1Vert">
      <w:tblPr/>
      <w:tcPr>
        <w:shd w:val="clear" w:color="auto" w:fill="E5B8B7" w:themeFill="accent2" w:themeFillTint="66"/>
      </w:tcPr>
    </w:tblStylePr>
    <w:tblStylePr w:type="firstCol">
      <w:rPr>
        <w:color w:val="FFFFFF" w:themeColor="background1"/>
      </w:rPr>
      <w:tblPr/>
      <w:tcPr>
        <w:tcBorders>
          <w:top w:val="nil" w:sz="0"/>
          <w:start w:val="nil" w:sz="0"/>
          <w:bottom w:val="nil" w:sz="0"/>
          <w:end w:val="nil" w:sz="0"/>
          <w:insideH w:val="single" w:color="772C2A" w:themeColor="accent2" w:themeShade="99" w:sz="4" w:space="0"/>
          <w:insideV w:val="nil" w:sz="0"/>
        </w:tcBorders>
        <w:shd w:val="clear" w:color="auto" w:fill="772C2A" w:themeFill="accent2" w:themeFillShade="99"/>
      </w:tcPr>
    </w:tblStylePr>
    <w:tblStylePr w:type="firstRow">
      <w:rPr>
        <w:b w:val="1"/>
        <w:bCs w:val="1"/>
      </w:rPr>
      <w:tblPr/>
      <w:tcPr>
        <w:tcBorders>
          <w:top w:val="nil" w:sz="0"/>
          <w:start w:val="nil" w:sz="0"/>
          <w:bottom w:val="single" w:color="C0504D" w:themeColor="accent2" w:sz="24" w:space="0"/>
          <w:end w:val="nil" w:sz="0"/>
          <w:insideH w:val="nil" w:sz="0"/>
          <w:insideV w:val="nil" w:sz="0"/>
        </w:tcBorders>
        <w:shd w:val="clear" w:color="auto" w:fill="FFFFFF" w:themeFill="background1"/>
      </w:tcPr>
    </w:tblStylePr>
    <w:tblStylePr w:type="lastCol">
      <w:rPr>
        <w:color w:val="FFFFFF" w:themeColor="background1"/>
      </w:rPr>
      <w:tblPr/>
      <w:tcPr>
        <w:tcBorders>
          <w:top w:val="nil" w:sz="0"/>
          <w:start w:val="nil" w:sz="0"/>
          <w:bottom w:val="nil" w:sz="0"/>
          <w:end w:val="nil" w:sz="0"/>
          <w:insideH w:val="nil" w:sz="0"/>
          <w:insideV w:val="nil" w:sz="0"/>
        </w:tcBorders>
        <w:shd w:val="clear" w:color="auto" w:fill="772C2A" w:themeFill="accent2" w:themeFillShade="99"/>
      </w:tcPr>
    </w:tblStylePr>
    <w:tblStylePr w:type="lastRow">
      <w:rPr>
        <w:color w:val="FFFFFF" w:themeColor="background1"/>
        <w:b w:val="1"/>
        <w:bCs w:val="1"/>
      </w:rPr>
      <w:tblPr/>
      <w:tcPr>
        <w:tcBorders>
          <w:top w:val="single" w:color="FFFFFF" w:themeColor="background1" w:sz="6" w:space="0"/>
        </w:tcBorders>
        <w:shd w:val="clear" w:color="auto" w:fill="772C2A" w:themeFill="accent2" w:themeFillShade="99"/>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start w:w="108" w:type="dxa"/>
        <w:bottom w:w="0" w:type="dxa"/>
        <w:end w:w="108" w:type="dxa"/>
      </w:tblCellMar>
    </w:tblPr>
    <w:tcPr>
      <w:shd w:val="clear" w:color="auto" w:fill="F5F8EE" w:themeFill="accent3" w:themeFillTint="19"/>
    </w:tcPr>
    <w:tblStylePr w:type="band1Horz">
      <w:tblPr/>
      <w:tcPr>
        <w:shd w:val="clear" w:color="auto" w:fill="CDDDAC" w:themeFill="accent3" w:themeFillTint="7F"/>
      </w:tcPr>
    </w:tblStylePr>
    <w:tblStylePr w:type="band1Vert">
      <w:tblPr/>
      <w:tcPr>
        <w:shd w:val="clear" w:color="auto" w:fill="D6E3BC" w:themeFill="accent3" w:themeFillTint="66"/>
      </w:tcPr>
    </w:tblStylePr>
    <w:tblStylePr w:type="firstCol">
      <w:rPr>
        <w:color w:val="FFFFFF" w:themeColor="background1"/>
      </w:rPr>
      <w:tblPr/>
      <w:tcPr>
        <w:tcBorders>
          <w:top w:val="nil" w:sz="0"/>
          <w:start w:val="nil" w:sz="0"/>
          <w:bottom w:val="nil" w:sz="0"/>
          <w:end w:val="nil" w:sz="0"/>
          <w:insideH w:val="single" w:color="5E7530" w:themeColor="accent3" w:themeShade="99" w:sz="4" w:space="0"/>
          <w:insideV w:val="nil" w:sz="0"/>
        </w:tcBorders>
        <w:shd w:val="clear" w:color="auto" w:fill="5E7530" w:themeFill="accent3" w:themeFillShade="99"/>
      </w:tcPr>
    </w:tblStylePr>
    <w:tblStylePr w:type="firstRow">
      <w:rPr>
        <w:b w:val="1"/>
        <w:bCs w:val="1"/>
      </w:rPr>
      <w:tblPr/>
      <w:tcPr>
        <w:tcBorders>
          <w:top w:val="nil" w:sz="0"/>
          <w:start w:val="nil" w:sz="0"/>
          <w:bottom w:val="single" w:color="8064A2" w:themeColor="accent4" w:sz="24" w:space="0"/>
          <w:end w:val="nil" w:sz="0"/>
          <w:insideH w:val="nil" w:sz="0"/>
          <w:insideV w:val="nil" w:sz="0"/>
        </w:tcBorders>
        <w:shd w:val="clear" w:color="auto" w:fill="FFFFFF" w:themeFill="background1"/>
      </w:tcPr>
    </w:tblStylePr>
    <w:tblStylePr w:type="lastCol">
      <w:rPr>
        <w:color w:val="FFFFFF" w:themeColor="background1"/>
      </w:rPr>
      <w:tblPr/>
      <w:tcPr>
        <w:tcBorders>
          <w:top w:val="nil" w:sz="0"/>
          <w:start w:val="nil" w:sz="0"/>
          <w:bottom w:val="nil" w:sz="0"/>
          <w:end w:val="nil" w:sz="0"/>
          <w:insideH w:val="nil" w:sz="0"/>
          <w:insideV w:val="nil" w:sz="0"/>
        </w:tcBorders>
        <w:shd w:val="clear" w:color="auto" w:fill="5E7530" w:themeFill="accent3" w:themeFillShade="99"/>
      </w:tcPr>
    </w:tblStylePr>
    <w:tblStylePr w:type="lastRow">
      <w:rPr>
        <w:color w:val="FFFFFF" w:themeColor="background1"/>
        <w:b w:val="1"/>
        <w:bCs w:val="1"/>
      </w:rPr>
      <w:tblPr/>
      <w:tcPr>
        <w:tcBorders>
          <w:top w:val="single" w:color="FFFFFF" w:themeColor="background1" w:sz="6" w:space="0"/>
        </w:tcBorders>
        <w:shd w:val="clear" w:color="auto" w:fill="5E7530" w:themeFill="accent3" w:themeFillShade="99"/>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start w:w="108" w:type="dxa"/>
        <w:bottom w:w="0" w:type="dxa"/>
        <w:end w:w="108" w:type="dxa"/>
      </w:tblCellMar>
    </w:tblPr>
    <w:tcPr>
      <w:shd w:val="clear" w:color="auto" w:fill="F2EFF6" w:themeFill="accent4" w:themeFillTint="19"/>
    </w:tcPr>
    <w:tblStylePr w:type="band1Horz">
      <w:tblPr/>
      <w:tcPr>
        <w:shd w:val="clear" w:color="auto" w:fill="BFB1D0" w:themeFill="accent4" w:themeFillTint="7F"/>
      </w:tcPr>
    </w:tblStylePr>
    <w:tblStylePr w:type="band1Vert">
      <w:tblPr/>
      <w:tcPr>
        <w:shd w:val="clear" w:color="auto" w:fill="CCC0D9" w:themeFill="accent4" w:themeFillTint="66"/>
      </w:tcPr>
    </w:tblStylePr>
    <w:tblStylePr w:type="firstCol">
      <w:rPr>
        <w:color w:val="FFFFFF" w:themeColor="background1"/>
      </w:rPr>
      <w:tblPr/>
      <w:tcPr>
        <w:tcBorders>
          <w:top w:val="nil" w:sz="0"/>
          <w:start w:val="nil" w:sz="0"/>
          <w:bottom w:val="nil" w:sz="0"/>
          <w:end w:val="nil" w:sz="0"/>
          <w:insideH w:val="single" w:color="4C3B62" w:themeColor="accent4" w:themeShade="99" w:sz="4" w:space="0"/>
          <w:insideV w:val="nil" w:sz="0"/>
        </w:tcBorders>
        <w:shd w:val="clear" w:color="auto" w:fill="4C3B62" w:themeFill="accent4" w:themeFillShade="99"/>
      </w:tcPr>
    </w:tblStylePr>
    <w:tblStylePr w:type="firstRow">
      <w:rPr>
        <w:b w:val="1"/>
        <w:bCs w:val="1"/>
      </w:rPr>
      <w:tblPr/>
      <w:tcPr>
        <w:tcBorders>
          <w:top w:val="nil" w:sz="0"/>
          <w:start w:val="nil" w:sz="0"/>
          <w:bottom w:val="single" w:color="9BBB59" w:themeColor="accent3" w:sz="24" w:space="0"/>
          <w:end w:val="nil" w:sz="0"/>
          <w:insideH w:val="nil" w:sz="0"/>
          <w:insideV w:val="nil" w:sz="0"/>
        </w:tcBorders>
        <w:shd w:val="clear" w:color="auto" w:fill="FFFFFF" w:themeFill="background1"/>
      </w:tcPr>
    </w:tblStylePr>
    <w:tblStylePr w:type="lastCol">
      <w:rPr>
        <w:color w:val="FFFFFF" w:themeColor="background1"/>
      </w:rPr>
      <w:tblPr/>
      <w:tcPr>
        <w:tcBorders>
          <w:top w:val="nil" w:sz="0"/>
          <w:start w:val="nil" w:sz="0"/>
          <w:bottom w:val="nil" w:sz="0"/>
          <w:end w:val="nil" w:sz="0"/>
          <w:insideH w:val="nil" w:sz="0"/>
          <w:insideV w:val="nil" w:sz="0"/>
        </w:tcBorders>
        <w:shd w:val="clear" w:color="auto" w:fill="4C3B62" w:themeFill="accent4" w:themeFillShade="99"/>
      </w:tcPr>
    </w:tblStylePr>
    <w:tblStylePr w:type="lastRow">
      <w:rPr>
        <w:color w:val="FFFFFF" w:themeColor="background1"/>
        <w:b w:val="1"/>
        <w:bCs w:val="1"/>
      </w:rPr>
      <w:tblPr/>
      <w:tcPr>
        <w:tcBorders>
          <w:top w:val="single" w:color="FFFFFF" w:themeColor="background1" w:sz="6" w:space="0"/>
        </w:tcBorders>
        <w:shd w:val="clear" w:color="auto" w:fill="4C3B62" w:themeFill="accent4" w:themeFillShade="99"/>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start w:w="108" w:type="dxa"/>
        <w:bottom w:w="0" w:type="dxa"/>
        <w:end w:w="108" w:type="dxa"/>
      </w:tblCellMar>
    </w:tblPr>
    <w:tcPr>
      <w:shd w:val="clear" w:color="auto" w:fill="EDF6F9" w:themeFill="accent5" w:themeFillTint="19"/>
    </w:tcPr>
    <w:tblStylePr w:type="band1Horz">
      <w:tblPr/>
      <w:tcPr>
        <w:shd w:val="clear" w:color="auto" w:fill="A5D5E2" w:themeFill="accent5" w:themeFillTint="7F"/>
      </w:tcPr>
    </w:tblStylePr>
    <w:tblStylePr w:type="band1Vert">
      <w:tblPr/>
      <w:tcPr>
        <w:shd w:val="clear" w:color="auto" w:fill="B6DDE8" w:themeFill="accent5" w:themeFillTint="66"/>
      </w:tcPr>
    </w:tblStylePr>
    <w:tblStylePr w:type="firstCol">
      <w:rPr>
        <w:color w:val="FFFFFF" w:themeColor="background1"/>
      </w:rPr>
      <w:tblPr/>
      <w:tcPr>
        <w:tcBorders>
          <w:top w:val="nil" w:sz="0"/>
          <w:start w:val="nil" w:sz="0"/>
          <w:bottom w:val="nil" w:sz="0"/>
          <w:end w:val="nil" w:sz="0"/>
          <w:insideH w:val="single" w:color="276A7C" w:themeColor="accent5" w:themeShade="99" w:sz="4" w:space="0"/>
          <w:insideV w:val="nil" w:sz="0"/>
        </w:tcBorders>
        <w:shd w:val="clear" w:color="auto" w:fill="276A7C" w:themeFill="accent5" w:themeFillShade="99"/>
      </w:tcPr>
    </w:tblStylePr>
    <w:tblStylePr w:type="firstRow">
      <w:rPr>
        <w:b w:val="1"/>
        <w:bCs w:val="1"/>
      </w:rPr>
      <w:tblPr/>
      <w:tcPr>
        <w:tcBorders>
          <w:top w:val="nil" w:sz="0"/>
          <w:start w:val="nil" w:sz="0"/>
          <w:bottom w:val="single" w:color="F79646" w:themeColor="accent6" w:sz="24" w:space="0"/>
          <w:end w:val="nil" w:sz="0"/>
          <w:insideH w:val="nil" w:sz="0"/>
          <w:insideV w:val="nil" w:sz="0"/>
        </w:tcBorders>
        <w:shd w:val="clear" w:color="auto" w:fill="FFFFFF" w:themeFill="background1"/>
      </w:tcPr>
    </w:tblStylePr>
    <w:tblStylePr w:type="lastCol">
      <w:rPr>
        <w:color w:val="FFFFFF" w:themeColor="background1"/>
      </w:rPr>
      <w:tblPr/>
      <w:tcPr>
        <w:tcBorders>
          <w:top w:val="nil" w:sz="0"/>
          <w:start w:val="nil" w:sz="0"/>
          <w:bottom w:val="nil" w:sz="0"/>
          <w:end w:val="nil" w:sz="0"/>
          <w:insideH w:val="nil" w:sz="0"/>
          <w:insideV w:val="nil" w:sz="0"/>
        </w:tcBorders>
        <w:shd w:val="clear" w:color="auto" w:fill="276A7C" w:themeFill="accent5" w:themeFillShade="99"/>
      </w:tcPr>
    </w:tblStylePr>
    <w:tblStylePr w:type="lastRow">
      <w:rPr>
        <w:color w:val="FFFFFF" w:themeColor="background1"/>
        <w:b w:val="1"/>
        <w:bCs w:val="1"/>
      </w:rPr>
      <w:tblPr/>
      <w:tcPr>
        <w:tcBorders>
          <w:top w:val="single" w:color="FFFFFF" w:themeColor="background1" w:sz="6" w:space="0"/>
        </w:tcBorders>
        <w:shd w:val="clear" w:color="auto" w:fill="276A7C" w:themeFill="accent5" w:themeFillShade="99"/>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start w:w="108" w:type="dxa"/>
        <w:bottom w:w="0" w:type="dxa"/>
        <w:end w:w="108" w:type="dxa"/>
      </w:tblCellMar>
    </w:tblPr>
    <w:tcPr>
      <w:shd w:val="clear" w:color="auto" w:fill="FEF4EC" w:themeFill="accent6" w:themeFillTint="19"/>
    </w:tcPr>
    <w:tblStylePr w:type="band1Horz">
      <w:tblPr/>
      <w:tcPr>
        <w:shd w:val="clear" w:color="auto" w:fill="FBCAA2" w:themeFill="accent6" w:themeFillTint="7F"/>
      </w:tcPr>
    </w:tblStylePr>
    <w:tblStylePr w:type="band1Vert">
      <w:tblPr/>
      <w:tcPr>
        <w:shd w:val="clear" w:color="auto" w:fill="FBD4B4" w:themeFill="accent6" w:themeFillTint="66"/>
      </w:tcPr>
    </w:tblStylePr>
    <w:tblStylePr w:type="firstCol">
      <w:rPr>
        <w:color w:val="FFFFFF" w:themeColor="background1"/>
      </w:rPr>
      <w:tblPr/>
      <w:tcPr>
        <w:tcBorders>
          <w:top w:val="nil" w:sz="0"/>
          <w:start w:val="nil" w:sz="0"/>
          <w:bottom w:val="nil" w:sz="0"/>
          <w:end w:val="nil" w:sz="0"/>
          <w:insideH w:val="single" w:color="B65608" w:themeColor="accent6" w:themeShade="99" w:sz="4" w:space="0"/>
          <w:insideV w:val="nil" w:sz="0"/>
        </w:tcBorders>
        <w:shd w:val="clear" w:color="auto" w:fill="B65608" w:themeFill="accent6" w:themeFillShade="99"/>
      </w:tcPr>
    </w:tblStylePr>
    <w:tblStylePr w:type="firstRow">
      <w:rPr>
        <w:b w:val="1"/>
        <w:bCs w:val="1"/>
      </w:rPr>
      <w:tblPr/>
      <w:tcPr>
        <w:tcBorders>
          <w:top w:val="nil" w:sz="0"/>
          <w:start w:val="nil" w:sz="0"/>
          <w:bottom w:val="single" w:color="4BACC6" w:themeColor="accent5" w:sz="24" w:space="0"/>
          <w:end w:val="nil" w:sz="0"/>
          <w:insideH w:val="nil" w:sz="0"/>
          <w:insideV w:val="nil" w:sz="0"/>
        </w:tcBorders>
        <w:shd w:val="clear" w:color="auto" w:fill="FFFFFF" w:themeFill="background1"/>
      </w:tcPr>
    </w:tblStylePr>
    <w:tblStylePr w:type="lastCol">
      <w:rPr>
        <w:color w:val="FFFFFF" w:themeColor="background1"/>
      </w:rPr>
      <w:tblPr/>
      <w:tcPr>
        <w:tcBorders>
          <w:top w:val="nil" w:sz="0"/>
          <w:start w:val="nil" w:sz="0"/>
          <w:bottom w:val="nil" w:sz="0"/>
          <w:end w:val="nil" w:sz="0"/>
          <w:insideH w:val="nil" w:sz="0"/>
          <w:insideV w:val="nil" w:sz="0"/>
        </w:tcBorders>
        <w:shd w:val="clear" w:color="auto" w:fill="B65608" w:themeFill="accent6" w:themeFillShade="99"/>
      </w:tcPr>
    </w:tblStylePr>
    <w:tblStylePr w:type="lastRow">
      <w:rPr>
        <w:color w:val="FFFFFF" w:themeColor="background1"/>
        <w:b w:val="1"/>
        <w:bCs w:val="1"/>
      </w:rPr>
      <w:tblPr/>
      <w:tcPr>
        <w:tcBorders>
          <w:top w:val="single" w:color="FFFFFF" w:themeColor="background1" w:sz="6" w:space="0"/>
        </w:tcBorders>
        <w:shd w:val="clear" w:color="auto" w:fill="B65608" w:themeFill="accent6" w:themeFillShade="99"/>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start w:w="108" w:type="dxa"/>
        <w:bottom w:w="0" w:type="dxa"/>
        <w:end w:w="108" w:type="dxa"/>
      </w:tblCellMar>
    </w:tblPr>
    <w:tcPr>
      <w:shd w:val="clear" w:color="auto" w:fill="000000" w:themeFill="text1"/>
    </w:tcPr>
    <w:tblStylePr w:type="band1Horz">
      <w:tblPr/>
      <w:tcPr>
        <w:tcBorders>
          <w:top w:val="nil" w:sz="0"/>
          <w:start w:val="nil" w:sz="0"/>
          <w:bottom w:val="nil" w:sz="0"/>
          <w:end w:val="nil" w:sz="0"/>
          <w:insideH w:val="nil" w:sz="0"/>
          <w:insideV w:val="nil" w:sz="0"/>
        </w:tcBorders>
        <w:shd w:val="clear" w:color="auto" w:fill="000000" w:themeFill="text1" w:themeFillShade="BF"/>
      </w:tcPr>
    </w:tblStylePr>
    <w:tblStylePr w:type="band1Vert">
      <w:tblPr/>
      <w:tcPr>
        <w:tcBorders>
          <w:top w:val="nil" w:sz="0"/>
          <w:start w:val="nil" w:sz="0"/>
          <w:bottom w:val="nil" w:sz="0"/>
          <w:end w:val="nil" w:sz="0"/>
          <w:insideH w:val="nil" w:sz="0"/>
          <w:insideV w:val="nil" w:sz="0"/>
        </w:tcBorders>
        <w:shd w:val="clear" w:color="auto" w:fill="000000" w:themeFill="text1" w:themeFillShade="BF"/>
      </w:tcPr>
    </w:tblStylePr>
    <w:tblStylePr w:type="firstCol">
      <w:tblPr/>
      <w:tcPr>
        <w:tcBorders>
          <w:top w:val="nil" w:sz="0"/>
          <w:start w:val="nil" w:sz="0"/>
          <w:bottom w:val="nil" w:sz="0"/>
          <w:end w:val="single" w:color="FFFFFF" w:themeColor="background1" w:sz="18" w:space="0"/>
          <w:insideH w:val="nil" w:sz="0"/>
          <w:insideV w:val="nil" w:sz="0"/>
        </w:tcBorders>
        <w:shd w:val="clear" w:color="auto" w:fill="000000" w:themeFill="text1" w:themeFillShade="BF"/>
      </w:tcPr>
    </w:tblStylePr>
    <w:tblStylePr w:type="firstRow">
      <w:rPr>
        <w:b w:val="1"/>
        <w:bCs w:val="1"/>
      </w:rPr>
      <w:tblPr/>
      <w:tcPr>
        <w:tcBorders>
          <w:top w:val="nil" w:sz="0"/>
          <w:start w:val="nil" w:sz="0"/>
          <w:bottom w:val="single" w:color="FFFFFF" w:themeColor="background1" w:sz="18" w:space="0"/>
          <w:end w:val="nil" w:sz="0"/>
          <w:insideH w:val="nil" w:sz="0"/>
          <w:insideV w:val="nil" w:sz="0"/>
        </w:tcBorders>
        <w:shd w:val="clear" w:color="auto" w:fill="000000" w:themeFill="text1"/>
      </w:tcPr>
    </w:tblStylePr>
    <w:tblStylePr w:type="lastCol">
      <w:tblPr/>
      <w:tcPr>
        <w:tcBorders>
          <w:top w:val="nil" w:sz="0"/>
          <w:start w:val="single" w:color="FFFFFF" w:themeColor="background1" w:sz="18" w:space="0"/>
          <w:bottom w:val="nil" w:sz="0"/>
          <w:end w:val="nil" w:sz="0"/>
          <w:insideH w:val="nil" w:sz="0"/>
          <w:insideV w:val="nil" w:sz="0"/>
        </w:tcBorders>
        <w:shd w:val="clear" w:color="auto" w:fill="000000" w:themeFill="text1" w:themeFillShade="BF"/>
      </w:tcPr>
    </w:tblStylePr>
    <w:tblStylePr w:type="lastRow">
      <w:tblPr/>
      <w:tcPr>
        <w:tcBorders>
          <w:top w:val="single" w:color="FFFFFF" w:themeColor="background1" w:sz="18" w:space="0"/>
          <w:start w:val="nil" w:sz="0"/>
          <w:bottom w:val="nil" w:sz="0"/>
          <w:end w:val="nil" w:sz="0"/>
          <w:insideH w:val="nil" w:sz="0"/>
          <w:insideV w:val="nil" w:sz="0"/>
        </w:tcBorders>
        <w:shd w:val="clear" w:color="auto" w:fill="000000" w:themeFill="text1" w:themeFillShade="7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start w:w="108" w:type="dxa"/>
        <w:bottom w:w="0" w:type="dxa"/>
        <w:end w:w="108" w:type="dxa"/>
      </w:tblCellMar>
    </w:tblPr>
    <w:tcPr>
      <w:shd w:val="clear" w:color="auto" w:fill="4F81BD" w:themeFill="accent1"/>
    </w:tcPr>
    <w:tblStylePr w:type="band1Horz">
      <w:tblPr/>
      <w:tcPr>
        <w:tcBorders>
          <w:top w:val="nil" w:sz="0"/>
          <w:start w:val="nil" w:sz="0"/>
          <w:bottom w:val="nil" w:sz="0"/>
          <w:end w:val="nil" w:sz="0"/>
          <w:insideH w:val="nil" w:sz="0"/>
          <w:insideV w:val="nil" w:sz="0"/>
        </w:tcBorders>
        <w:shd w:val="clear" w:color="auto" w:fill="365F91" w:themeFill="accent1" w:themeFillShade="BF"/>
      </w:tcPr>
    </w:tblStylePr>
    <w:tblStylePr w:type="band1Vert">
      <w:tblPr/>
      <w:tcPr>
        <w:tcBorders>
          <w:top w:val="nil" w:sz="0"/>
          <w:start w:val="nil" w:sz="0"/>
          <w:bottom w:val="nil" w:sz="0"/>
          <w:end w:val="nil" w:sz="0"/>
          <w:insideH w:val="nil" w:sz="0"/>
          <w:insideV w:val="nil" w:sz="0"/>
        </w:tcBorders>
        <w:shd w:val="clear" w:color="auto" w:fill="365F91" w:themeFill="accent1" w:themeFillShade="BF"/>
      </w:tcPr>
    </w:tblStylePr>
    <w:tblStylePr w:type="firstCol">
      <w:tblPr/>
      <w:tcPr>
        <w:tcBorders>
          <w:top w:val="nil" w:sz="0"/>
          <w:start w:val="nil" w:sz="0"/>
          <w:bottom w:val="nil" w:sz="0"/>
          <w:end w:val="single" w:color="FFFFFF" w:themeColor="background1" w:sz="18" w:space="0"/>
          <w:insideH w:val="nil" w:sz="0"/>
          <w:insideV w:val="nil" w:sz="0"/>
        </w:tcBorders>
        <w:shd w:val="clear" w:color="auto" w:fill="365F91" w:themeFill="accent1" w:themeFillShade="BF"/>
      </w:tcPr>
    </w:tblStylePr>
    <w:tblStylePr w:type="firstRow">
      <w:rPr>
        <w:b w:val="1"/>
        <w:bCs w:val="1"/>
      </w:rPr>
      <w:tblPr/>
      <w:tcPr>
        <w:tcBorders>
          <w:top w:val="nil" w:sz="0"/>
          <w:start w:val="nil" w:sz="0"/>
          <w:bottom w:val="single" w:color="FFFFFF" w:themeColor="background1" w:sz="18" w:space="0"/>
          <w:end w:val="nil" w:sz="0"/>
          <w:insideH w:val="nil" w:sz="0"/>
          <w:insideV w:val="nil" w:sz="0"/>
        </w:tcBorders>
        <w:shd w:val="clear" w:color="auto" w:fill="000000" w:themeFill="text1"/>
      </w:tcPr>
    </w:tblStylePr>
    <w:tblStylePr w:type="lastCol">
      <w:tblPr/>
      <w:tcPr>
        <w:tcBorders>
          <w:top w:val="nil" w:sz="0"/>
          <w:start w:val="single" w:color="FFFFFF" w:themeColor="background1" w:sz="18" w:space="0"/>
          <w:bottom w:val="nil" w:sz="0"/>
          <w:end w:val="nil" w:sz="0"/>
          <w:insideH w:val="nil" w:sz="0"/>
          <w:insideV w:val="nil" w:sz="0"/>
        </w:tcBorders>
        <w:shd w:val="clear" w:color="auto" w:fill="365F91" w:themeFill="accent1" w:themeFillShade="BF"/>
      </w:tcPr>
    </w:tblStylePr>
    <w:tblStylePr w:type="lastRow">
      <w:tblPr/>
      <w:tcPr>
        <w:tcBorders>
          <w:top w:val="single" w:color="FFFFFF" w:themeColor="background1" w:sz="18" w:space="0"/>
          <w:start w:val="nil" w:sz="0"/>
          <w:bottom w:val="nil" w:sz="0"/>
          <w:end w:val="nil" w:sz="0"/>
          <w:insideH w:val="nil" w:sz="0"/>
          <w:insideV w:val="nil" w:sz="0"/>
        </w:tcBorders>
        <w:shd w:val="clear" w:color="auto" w:fill="243F60" w:themeFill="accent1" w:themeFillShade="7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start w:w="108" w:type="dxa"/>
        <w:bottom w:w="0" w:type="dxa"/>
        <w:end w:w="108" w:type="dxa"/>
      </w:tblCellMar>
    </w:tblPr>
    <w:tcPr>
      <w:shd w:val="clear" w:color="auto" w:fill="C0504D" w:themeFill="accent2"/>
    </w:tcPr>
    <w:tblStylePr w:type="band1Horz">
      <w:tblPr/>
      <w:tcPr>
        <w:tcBorders>
          <w:top w:val="nil" w:sz="0"/>
          <w:start w:val="nil" w:sz="0"/>
          <w:bottom w:val="nil" w:sz="0"/>
          <w:end w:val="nil" w:sz="0"/>
          <w:insideH w:val="nil" w:sz="0"/>
          <w:insideV w:val="nil" w:sz="0"/>
        </w:tcBorders>
        <w:shd w:val="clear" w:color="auto" w:fill="943634" w:themeFill="accent2" w:themeFillShade="BF"/>
      </w:tcPr>
    </w:tblStylePr>
    <w:tblStylePr w:type="band1Vert">
      <w:tblPr/>
      <w:tcPr>
        <w:tcBorders>
          <w:top w:val="nil" w:sz="0"/>
          <w:start w:val="nil" w:sz="0"/>
          <w:bottom w:val="nil" w:sz="0"/>
          <w:end w:val="nil" w:sz="0"/>
          <w:insideH w:val="nil" w:sz="0"/>
          <w:insideV w:val="nil" w:sz="0"/>
        </w:tcBorders>
        <w:shd w:val="clear" w:color="auto" w:fill="943634" w:themeFill="accent2" w:themeFillShade="BF"/>
      </w:tcPr>
    </w:tblStylePr>
    <w:tblStylePr w:type="firstCol">
      <w:tblPr/>
      <w:tcPr>
        <w:tcBorders>
          <w:top w:val="nil" w:sz="0"/>
          <w:start w:val="nil" w:sz="0"/>
          <w:bottom w:val="nil" w:sz="0"/>
          <w:end w:val="single" w:color="FFFFFF" w:themeColor="background1" w:sz="18" w:space="0"/>
          <w:insideH w:val="nil" w:sz="0"/>
          <w:insideV w:val="nil" w:sz="0"/>
        </w:tcBorders>
        <w:shd w:val="clear" w:color="auto" w:fill="943634" w:themeFill="accent2" w:themeFillShade="BF"/>
      </w:tcPr>
    </w:tblStylePr>
    <w:tblStylePr w:type="firstRow">
      <w:rPr>
        <w:b w:val="1"/>
        <w:bCs w:val="1"/>
      </w:rPr>
      <w:tblPr/>
      <w:tcPr>
        <w:tcBorders>
          <w:top w:val="nil" w:sz="0"/>
          <w:start w:val="nil" w:sz="0"/>
          <w:bottom w:val="single" w:color="FFFFFF" w:themeColor="background1" w:sz="18" w:space="0"/>
          <w:end w:val="nil" w:sz="0"/>
          <w:insideH w:val="nil" w:sz="0"/>
          <w:insideV w:val="nil" w:sz="0"/>
        </w:tcBorders>
        <w:shd w:val="clear" w:color="auto" w:fill="000000" w:themeFill="text1"/>
      </w:tcPr>
    </w:tblStylePr>
    <w:tblStylePr w:type="lastCol">
      <w:tblPr/>
      <w:tcPr>
        <w:tcBorders>
          <w:top w:val="nil" w:sz="0"/>
          <w:start w:val="single" w:color="FFFFFF" w:themeColor="background1" w:sz="18" w:space="0"/>
          <w:bottom w:val="nil" w:sz="0"/>
          <w:end w:val="nil" w:sz="0"/>
          <w:insideH w:val="nil" w:sz="0"/>
          <w:insideV w:val="nil" w:sz="0"/>
        </w:tcBorders>
        <w:shd w:val="clear" w:color="auto" w:fill="943634" w:themeFill="accent2" w:themeFillShade="BF"/>
      </w:tcPr>
    </w:tblStylePr>
    <w:tblStylePr w:type="lastRow">
      <w:tblPr/>
      <w:tcPr>
        <w:tcBorders>
          <w:top w:val="single" w:color="FFFFFF" w:themeColor="background1" w:sz="18" w:space="0"/>
          <w:start w:val="nil" w:sz="0"/>
          <w:bottom w:val="nil" w:sz="0"/>
          <w:end w:val="nil" w:sz="0"/>
          <w:insideH w:val="nil" w:sz="0"/>
          <w:insideV w:val="nil" w:sz="0"/>
        </w:tcBorders>
        <w:shd w:val="clear" w:color="auto" w:fill="622423" w:themeFill="accent2" w:themeFillShade="7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start w:w="108" w:type="dxa"/>
        <w:bottom w:w="0" w:type="dxa"/>
        <w:end w:w="108" w:type="dxa"/>
      </w:tblCellMar>
    </w:tblPr>
    <w:tcPr>
      <w:shd w:val="clear" w:color="auto" w:fill="9BBB59" w:themeFill="accent3"/>
    </w:tcPr>
    <w:tblStylePr w:type="band1Horz">
      <w:tblPr/>
      <w:tcPr>
        <w:tcBorders>
          <w:top w:val="nil" w:sz="0"/>
          <w:start w:val="nil" w:sz="0"/>
          <w:bottom w:val="nil" w:sz="0"/>
          <w:end w:val="nil" w:sz="0"/>
          <w:insideH w:val="nil" w:sz="0"/>
          <w:insideV w:val="nil" w:sz="0"/>
        </w:tcBorders>
        <w:shd w:val="clear" w:color="auto" w:fill="76923C" w:themeFill="accent3" w:themeFillShade="BF"/>
      </w:tcPr>
    </w:tblStylePr>
    <w:tblStylePr w:type="band1Vert">
      <w:tblPr/>
      <w:tcPr>
        <w:tcBorders>
          <w:top w:val="nil" w:sz="0"/>
          <w:start w:val="nil" w:sz="0"/>
          <w:bottom w:val="nil" w:sz="0"/>
          <w:end w:val="nil" w:sz="0"/>
          <w:insideH w:val="nil" w:sz="0"/>
          <w:insideV w:val="nil" w:sz="0"/>
        </w:tcBorders>
        <w:shd w:val="clear" w:color="auto" w:fill="76923C" w:themeFill="accent3" w:themeFillShade="BF"/>
      </w:tcPr>
    </w:tblStylePr>
    <w:tblStylePr w:type="firstCol">
      <w:tblPr/>
      <w:tcPr>
        <w:tcBorders>
          <w:top w:val="nil" w:sz="0"/>
          <w:start w:val="nil" w:sz="0"/>
          <w:bottom w:val="nil" w:sz="0"/>
          <w:end w:val="single" w:color="FFFFFF" w:themeColor="background1" w:sz="18" w:space="0"/>
          <w:insideH w:val="nil" w:sz="0"/>
          <w:insideV w:val="nil" w:sz="0"/>
        </w:tcBorders>
        <w:shd w:val="clear" w:color="auto" w:fill="76923C" w:themeFill="accent3" w:themeFillShade="BF"/>
      </w:tcPr>
    </w:tblStylePr>
    <w:tblStylePr w:type="firstRow">
      <w:rPr>
        <w:b w:val="1"/>
        <w:bCs w:val="1"/>
      </w:rPr>
      <w:tblPr/>
      <w:tcPr>
        <w:tcBorders>
          <w:top w:val="nil" w:sz="0"/>
          <w:start w:val="nil" w:sz="0"/>
          <w:bottom w:val="single" w:color="FFFFFF" w:themeColor="background1" w:sz="18" w:space="0"/>
          <w:end w:val="nil" w:sz="0"/>
          <w:insideH w:val="nil" w:sz="0"/>
          <w:insideV w:val="nil" w:sz="0"/>
        </w:tcBorders>
        <w:shd w:val="clear" w:color="auto" w:fill="000000" w:themeFill="text1"/>
      </w:tcPr>
    </w:tblStylePr>
    <w:tblStylePr w:type="lastCol">
      <w:tblPr/>
      <w:tcPr>
        <w:tcBorders>
          <w:top w:val="nil" w:sz="0"/>
          <w:start w:val="single" w:color="FFFFFF" w:themeColor="background1" w:sz="18" w:space="0"/>
          <w:bottom w:val="nil" w:sz="0"/>
          <w:end w:val="nil" w:sz="0"/>
          <w:insideH w:val="nil" w:sz="0"/>
          <w:insideV w:val="nil" w:sz="0"/>
        </w:tcBorders>
        <w:shd w:val="clear" w:color="auto" w:fill="76923C" w:themeFill="accent3" w:themeFillShade="BF"/>
      </w:tcPr>
    </w:tblStylePr>
    <w:tblStylePr w:type="lastRow">
      <w:tblPr/>
      <w:tcPr>
        <w:tcBorders>
          <w:top w:val="single" w:color="FFFFFF" w:themeColor="background1" w:sz="18" w:space="0"/>
          <w:start w:val="nil" w:sz="0"/>
          <w:bottom w:val="nil" w:sz="0"/>
          <w:end w:val="nil" w:sz="0"/>
          <w:insideH w:val="nil" w:sz="0"/>
          <w:insideV w:val="nil" w:sz="0"/>
        </w:tcBorders>
        <w:shd w:val="clear" w:color="auto" w:fill="4E6128" w:themeFill="accent3" w:themeFillShade="7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start w:w="108" w:type="dxa"/>
        <w:bottom w:w="0" w:type="dxa"/>
        <w:end w:w="108" w:type="dxa"/>
      </w:tblCellMar>
    </w:tblPr>
    <w:tcPr>
      <w:shd w:val="clear" w:color="auto" w:fill="8064A2" w:themeFill="accent4"/>
    </w:tcPr>
    <w:tblStylePr w:type="band1Horz">
      <w:tblPr/>
      <w:tcPr>
        <w:tcBorders>
          <w:top w:val="nil" w:sz="0"/>
          <w:start w:val="nil" w:sz="0"/>
          <w:bottom w:val="nil" w:sz="0"/>
          <w:end w:val="nil" w:sz="0"/>
          <w:insideH w:val="nil" w:sz="0"/>
          <w:insideV w:val="nil" w:sz="0"/>
        </w:tcBorders>
        <w:shd w:val="clear" w:color="auto" w:fill="5F497A" w:themeFill="accent4" w:themeFillShade="BF"/>
      </w:tcPr>
    </w:tblStylePr>
    <w:tblStylePr w:type="band1Vert">
      <w:tblPr/>
      <w:tcPr>
        <w:tcBorders>
          <w:top w:val="nil" w:sz="0"/>
          <w:start w:val="nil" w:sz="0"/>
          <w:bottom w:val="nil" w:sz="0"/>
          <w:end w:val="nil" w:sz="0"/>
          <w:insideH w:val="nil" w:sz="0"/>
          <w:insideV w:val="nil" w:sz="0"/>
        </w:tcBorders>
        <w:shd w:val="clear" w:color="auto" w:fill="5F497A" w:themeFill="accent4" w:themeFillShade="BF"/>
      </w:tcPr>
    </w:tblStylePr>
    <w:tblStylePr w:type="firstCol">
      <w:tblPr/>
      <w:tcPr>
        <w:tcBorders>
          <w:top w:val="nil" w:sz="0"/>
          <w:start w:val="nil" w:sz="0"/>
          <w:bottom w:val="nil" w:sz="0"/>
          <w:end w:val="single" w:color="FFFFFF" w:themeColor="background1" w:sz="18" w:space="0"/>
          <w:insideH w:val="nil" w:sz="0"/>
          <w:insideV w:val="nil" w:sz="0"/>
        </w:tcBorders>
        <w:shd w:val="clear" w:color="auto" w:fill="5F497A" w:themeFill="accent4" w:themeFillShade="BF"/>
      </w:tcPr>
    </w:tblStylePr>
    <w:tblStylePr w:type="firstRow">
      <w:rPr>
        <w:b w:val="1"/>
        <w:bCs w:val="1"/>
      </w:rPr>
      <w:tblPr/>
      <w:tcPr>
        <w:tcBorders>
          <w:top w:val="nil" w:sz="0"/>
          <w:start w:val="nil" w:sz="0"/>
          <w:bottom w:val="single" w:color="FFFFFF" w:themeColor="background1" w:sz="18" w:space="0"/>
          <w:end w:val="nil" w:sz="0"/>
          <w:insideH w:val="nil" w:sz="0"/>
          <w:insideV w:val="nil" w:sz="0"/>
        </w:tcBorders>
        <w:shd w:val="clear" w:color="auto" w:fill="000000" w:themeFill="text1"/>
      </w:tcPr>
    </w:tblStylePr>
    <w:tblStylePr w:type="lastCol">
      <w:tblPr/>
      <w:tcPr>
        <w:tcBorders>
          <w:top w:val="nil" w:sz="0"/>
          <w:start w:val="single" w:color="FFFFFF" w:themeColor="background1" w:sz="18" w:space="0"/>
          <w:bottom w:val="nil" w:sz="0"/>
          <w:end w:val="nil" w:sz="0"/>
          <w:insideH w:val="nil" w:sz="0"/>
          <w:insideV w:val="nil" w:sz="0"/>
        </w:tcBorders>
        <w:shd w:val="clear" w:color="auto" w:fill="5F497A" w:themeFill="accent4" w:themeFillShade="BF"/>
      </w:tcPr>
    </w:tblStylePr>
    <w:tblStylePr w:type="lastRow">
      <w:tblPr/>
      <w:tcPr>
        <w:tcBorders>
          <w:top w:val="single" w:color="FFFFFF" w:themeColor="background1" w:sz="18" w:space="0"/>
          <w:start w:val="nil" w:sz="0"/>
          <w:bottom w:val="nil" w:sz="0"/>
          <w:end w:val="nil" w:sz="0"/>
          <w:insideH w:val="nil" w:sz="0"/>
          <w:insideV w:val="nil" w:sz="0"/>
        </w:tcBorders>
        <w:shd w:val="clear" w:color="auto" w:fill="3F3151" w:themeFill="accent4" w:themeFillShade="7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start w:w="108" w:type="dxa"/>
        <w:bottom w:w="0" w:type="dxa"/>
        <w:end w:w="108" w:type="dxa"/>
      </w:tblCellMar>
    </w:tblPr>
    <w:tcPr>
      <w:shd w:val="clear" w:color="auto" w:fill="4BACC6" w:themeFill="accent5"/>
    </w:tcPr>
    <w:tblStylePr w:type="band1Horz">
      <w:tblPr/>
      <w:tcPr>
        <w:tcBorders>
          <w:top w:val="nil" w:sz="0"/>
          <w:start w:val="nil" w:sz="0"/>
          <w:bottom w:val="nil" w:sz="0"/>
          <w:end w:val="nil" w:sz="0"/>
          <w:insideH w:val="nil" w:sz="0"/>
          <w:insideV w:val="nil" w:sz="0"/>
        </w:tcBorders>
        <w:shd w:val="clear" w:color="auto" w:fill="31849B" w:themeFill="accent5" w:themeFillShade="BF"/>
      </w:tcPr>
    </w:tblStylePr>
    <w:tblStylePr w:type="band1Vert">
      <w:tblPr/>
      <w:tcPr>
        <w:tcBorders>
          <w:top w:val="nil" w:sz="0"/>
          <w:start w:val="nil" w:sz="0"/>
          <w:bottom w:val="nil" w:sz="0"/>
          <w:end w:val="nil" w:sz="0"/>
          <w:insideH w:val="nil" w:sz="0"/>
          <w:insideV w:val="nil" w:sz="0"/>
        </w:tcBorders>
        <w:shd w:val="clear" w:color="auto" w:fill="31849B" w:themeFill="accent5" w:themeFillShade="BF"/>
      </w:tcPr>
    </w:tblStylePr>
    <w:tblStylePr w:type="firstCol">
      <w:tblPr/>
      <w:tcPr>
        <w:tcBorders>
          <w:top w:val="nil" w:sz="0"/>
          <w:start w:val="nil" w:sz="0"/>
          <w:bottom w:val="nil" w:sz="0"/>
          <w:end w:val="single" w:color="FFFFFF" w:themeColor="background1" w:sz="18" w:space="0"/>
          <w:insideH w:val="nil" w:sz="0"/>
          <w:insideV w:val="nil" w:sz="0"/>
        </w:tcBorders>
        <w:shd w:val="clear" w:color="auto" w:fill="31849B" w:themeFill="accent5" w:themeFillShade="BF"/>
      </w:tcPr>
    </w:tblStylePr>
    <w:tblStylePr w:type="firstRow">
      <w:rPr>
        <w:b w:val="1"/>
        <w:bCs w:val="1"/>
      </w:rPr>
      <w:tblPr/>
      <w:tcPr>
        <w:tcBorders>
          <w:top w:val="nil" w:sz="0"/>
          <w:start w:val="nil" w:sz="0"/>
          <w:bottom w:val="single" w:color="FFFFFF" w:themeColor="background1" w:sz="18" w:space="0"/>
          <w:end w:val="nil" w:sz="0"/>
          <w:insideH w:val="nil" w:sz="0"/>
          <w:insideV w:val="nil" w:sz="0"/>
        </w:tcBorders>
        <w:shd w:val="clear" w:color="auto" w:fill="000000" w:themeFill="text1"/>
      </w:tcPr>
    </w:tblStylePr>
    <w:tblStylePr w:type="lastCol">
      <w:tblPr/>
      <w:tcPr>
        <w:tcBorders>
          <w:top w:val="nil" w:sz="0"/>
          <w:start w:val="single" w:color="FFFFFF" w:themeColor="background1" w:sz="18" w:space="0"/>
          <w:bottom w:val="nil" w:sz="0"/>
          <w:end w:val="nil" w:sz="0"/>
          <w:insideH w:val="nil" w:sz="0"/>
          <w:insideV w:val="nil" w:sz="0"/>
        </w:tcBorders>
        <w:shd w:val="clear" w:color="auto" w:fill="31849B" w:themeFill="accent5" w:themeFillShade="BF"/>
      </w:tcPr>
    </w:tblStylePr>
    <w:tblStylePr w:type="lastRow">
      <w:tblPr/>
      <w:tcPr>
        <w:tcBorders>
          <w:top w:val="single" w:color="FFFFFF" w:themeColor="background1" w:sz="18" w:space="0"/>
          <w:start w:val="nil" w:sz="0"/>
          <w:bottom w:val="nil" w:sz="0"/>
          <w:end w:val="nil" w:sz="0"/>
          <w:insideH w:val="nil" w:sz="0"/>
          <w:insideV w:val="nil" w:sz="0"/>
        </w:tcBorders>
        <w:shd w:val="clear" w:color="auto" w:fill="205867" w:themeFill="accent5" w:themeFillShade="7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start w:w="108" w:type="dxa"/>
        <w:bottom w:w="0" w:type="dxa"/>
        <w:end w:w="108" w:type="dxa"/>
      </w:tblCellMar>
    </w:tblPr>
    <w:tcPr>
      <w:shd w:val="clear" w:color="auto" w:fill="F79646" w:themeFill="accent6"/>
    </w:tcPr>
    <w:tblStylePr w:type="band1Horz">
      <w:tblPr/>
      <w:tcPr>
        <w:tcBorders>
          <w:top w:val="nil" w:sz="0"/>
          <w:start w:val="nil" w:sz="0"/>
          <w:bottom w:val="nil" w:sz="0"/>
          <w:end w:val="nil" w:sz="0"/>
          <w:insideH w:val="nil" w:sz="0"/>
          <w:insideV w:val="nil" w:sz="0"/>
        </w:tcBorders>
        <w:shd w:val="clear" w:color="auto" w:fill="E36C0A" w:themeFill="accent6" w:themeFillShade="BF"/>
      </w:tcPr>
    </w:tblStylePr>
    <w:tblStylePr w:type="band1Vert">
      <w:tblPr/>
      <w:tcPr>
        <w:tcBorders>
          <w:top w:val="nil" w:sz="0"/>
          <w:start w:val="nil" w:sz="0"/>
          <w:bottom w:val="nil" w:sz="0"/>
          <w:end w:val="nil" w:sz="0"/>
          <w:insideH w:val="nil" w:sz="0"/>
          <w:insideV w:val="nil" w:sz="0"/>
        </w:tcBorders>
        <w:shd w:val="clear" w:color="auto" w:fill="E36C0A" w:themeFill="accent6" w:themeFillShade="BF"/>
      </w:tcPr>
    </w:tblStylePr>
    <w:tblStylePr w:type="firstCol">
      <w:tblPr/>
      <w:tcPr>
        <w:tcBorders>
          <w:top w:val="nil" w:sz="0"/>
          <w:start w:val="nil" w:sz="0"/>
          <w:bottom w:val="nil" w:sz="0"/>
          <w:end w:val="single" w:color="FFFFFF" w:themeColor="background1" w:sz="18" w:space="0"/>
          <w:insideH w:val="nil" w:sz="0"/>
          <w:insideV w:val="nil" w:sz="0"/>
        </w:tcBorders>
        <w:shd w:val="clear" w:color="auto" w:fill="E36C0A" w:themeFill="accent6" w:themeFillShade="BF"/>
      </w:tcPr>
    </w:tblStylePr>
    <w:tblStylePr w:type="firstRow">
      <w:rPr>
        <w:b w:val="1"/>
        <w:bCs w:val="1"/>
      </w:rPr>
      <w:tblPr/>
      <w:tcPr>
        <w:tcBorders>
          <w:top w:val="nil" w:sz="0"/>
          <w:start w:val="nil" w:sz="0"/>
          <w:bottom w:val="single" w:color="FFFFFF" w:themeColor="background1" w:sz="18" w:space="0"/>
          <w:end w:val="nil" w:sz="0"/>
          <w:insideH w:val="nil" w:sz="0"/>
          <w:insideV w:val="nil" w:sz="0"/>
        </w:tcBorders>
        <w:shd w:val="clear" w:color="auto" w:fill="000000" w:themeFill="text1"/>
      </w:tcPr>
    </w:tblStylePr>
    <w:tblStylePr w:type="lastCol">
      <w:tblPr/>
      <w:tcPr>
        <w:tcBorders>
          <w:top w:val="nil" w:sz="0"/>
          <w:start w:val="single" w:color="FFFFFF" w:themeColor="background1" w:sz="18" w:space="0"/>
          <w:bottom w:val="nil" w:sz="0"/>
          <w:end w:val="nil" w:sz="0"/>
          <w:insideH w:val="nil" w:sz="0"/>
          <w:insideV w:val="nil" w:sz="0"/>
        </w:tcBorders>
        <w:shd w:val="clear" w:color="auto" w:fill="E36C0A" w:themeFill="accent6" w:themeFillShade="BF"/>
      </w:tcPr>
    </w:tblStylePr>
    <w:tblStylePr w:type="lastRow">
      <w:tblPr/>
      <w:tcPr>
        <w:tcBorders>
          <w:top w:val="single" w:color="FFFFFF" w:themeColor="background1" w:sz="18" w:space="0"/>
          <w:start w:val="nil" w:sz="0"/>
          <w:bottom w:val="nil" w:sz="0"/>
          <w:end w:val="nil" w:sz="0"/>
          <w:insideH w:val="nil" w:sz="0"/>
          <w:insideV w:val="nil" w:sz="0"/>
        </w:tcBorders>
        <w:shd w:val="clear" w:color="auto" w:fill="974706" w:themeFill="accent6" w:themeFillShade="7F"/>
      </w:tcPr>
    </w:tblStylePr>
  </w:style>
  <w:style w:type="character" w:styleId="DefaultParagraphFont" w:default="1">
    <w:name w:val="Default Paragraph Font"/>
    <w:uiPriority w:val="1"/>
    <w:semiHidden w:val="1"/>
    <w:unhideWhenUsed w:val="1"/>
  </w:style>
  <w:style w:type="character" w:styleId="Emphasis">
    <w:name w:val="Emphasis"/>
    <w:basedOn w:val="DefaultParagraphFont"/>
    <w:uiPriority w:val="20"/>
    <w:qFormat w:val="1"/>
    <w:rsid w:val="00FC693F"/>
    <w:rPr>
      <w:i w:val="1"/>
      <w:iCs w:val="1"/>
    </w:rPr>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Heading1">
    <w:name w:val="heading 1"/>
    <w:basedOn w:val="Normal"/>
    <w:next w:val="Normal"/>
    <w:link w:val="Heading1Char"/>
    <w:uiPriority w:val="9"/>
    <w:qFormat w:val="1"/>
    <w:rsid w:val="00FC693F"/>
    <w:pPr>
      <w:keepNext w:val="1"/>
      <w:keepLines w:val="1"/>
      <w:spacing w:before="240" w:after="120"/>
      <w:outlineLvl w:val="0"/>
    </w:pPr>
    <w:rPr>
      <w:rFonts w:ascii="Times New Roman" w:hAnsi="Times New Roman" w:eastAsia="Times New Roman" w:asciiTheme="majorHAnsi" w:hAnsiTheme="majorHAnsi" w:eastAsiaTheme="majorEastAsia" w:cstheme="majorBidi"/>
      <w:sz w:val="24"/>
      <w:color w:val="000000"/>
      <w:b w:val="1"/>
      <w:bCs w:val="1"/>
      <w:szCs w:val="28"/>
    </w:r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sz w:val="28"/>
      <w:color w:val="365F91" w:themeColor="accent1" w:themeShade="BF"/>
      <w:b w:val="1"/>
      <w:bCs w:val="1"/>
      <w:szCs w:val="28"/>
    </w:rPr>
  </w:style>
  <w:style w:type="paragraph" w:styleId="Heading2">
    <w:name w:val="heading 2"/>
    <w:basedOn w:val="Normal"/>
    <w:next w:val="Normal"/>
    <w:link w:val="Heading2Char"/>
    <w:uiPriority w:val="9"/>
    <w:unhideWhenUsed w:val="1"/>
    <w:qFormat w:val="1"/>
    <w:rsid w:val="00FC693F"/>
    <w:pPr>
      <w:keepNext w:val="1"/>
      <w:keepLines w:val="1"/>
      <w:spacing w:before="200" w:after="80"/>
      <w:outlineLvl w:val="1"/>
    </w:pPr>
    <w:rPr>
      <w:rFonts w:ascii="Times New Roman" w:hAnsi="Times New Roman" w:eastAsia="Times New Roman" w:asciiTheme="majorHAnsi" w:hAnsiTheme="majorHAnsi" w:eastAsiaTheme="majorEastAsia" w:cstheme="majorBidi"/>
      <w:sz w:val="24"/>
      <w:color w:val="000000"/>
      <w:b w:val="1"/>
      <w:bCs w:val="1"/>
      <w:szCs w:val="26"/>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sz w:val="26"/>
      <w:color w:val="4F81BD" w:themeColor="accent1"/>
      <w:b w:val="1"/>
      <w:bCs w:val="1"/>
      <w:szCs w:val="26"/>
    </w:rPr>
  </w:style>
  <w:style w:type="paragraph" w:styleId="Heading3">
    <w:name w:val="heading 3"/>
    <w:basedOn w:val="Normal"/>
    <w:next w:val="Normal"/>
    <w:link w:val="Heading3Char"/>
    <w:uiPriority w:val="9"/>
    <w:unhideWhenUsed w:val="1"/>
    <w:qFormat w:val="1"/>
    <w:rsid w:val="00FC693F"/>
    <w:pPr>
      <w:keepNext w:val="1"/>
      <w:keepLines w:val="1"/>
      <w:spacing w:before="160" w:after="80"/>
      <w:outlineLvl w:val="2"/>
    </w:pPr>
    <w:rPr>
      <w:rFonts w:ascii="Times New Roman" w:hAnsi="Times New Roman" w:eastAsia="Times New Roman" w:asciiTheme="majorHAnsi" w:hAnsiTheme="majorHAnsi" w:eastAsiaTheme="majorEastAsia" w:cstheme="majorBidi"/>
      <w:sz w:val="24"/>
      <w:color w:val="000000"/>
      <w:b w:val="1"/>
      <w:bCs w:val="1"/>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color w:val="4F81BD" w:themeColor="accent1"/>
      <w:b w:val="1"/>
      <w:bCs w:val="1"/>
    </w:rPr>
  </w:style>
  <w:style w:type="paragraph" w:styleId="Heading4">
    <w:name w:val="heading 4"/>
    <w:basedOn w:val="Normal"/>
    <w:next w:val="Normal"/>
    <w:link w:val="Heading4Char"/>
    <w:uiPriority w:val="9"/>
    <w:semiHidden w:val="1"/>
    <w:unhideWhenUsed w:val="1"/>
    <w:qFormat w:val="1"/>
    <w:rsid w:val="00FC693F"/>
    <w:pPr>
      <w:keepNext w:val="1"/>
      <w:keepLines w:val="1"/>
      <w:spacing w:before="200" w:after="0"/>
      <w:outlineLvl w:val="3"/>
    </w:pPr>
    <w:rPr>
      <w:rFonts w:asciiTheme="majorHAnsi" w:hAnsiTheme="majorHAnsi" w:eastAsiaTheme="majorEastAsia" w:cstheme="majorBidi"/>
      <w:color w:val="4F81BD" w:themeColor="accent1"/>
      <w:b w:val="1"/>
      <w:i w:val="1"/>
      <w:bCs w:val="1"/>
      <w:iCs w:val="1"/>
    </w:rPr>
  </w:style>
  <w:style w:type="character" w:styleId="Heading4Char" w:customStyle="1">
    <w:name w:val="Heading 4 Char"/>
    <w:basedOn w:val="DefaultParagraphFont"/>
    <w:link w:val="Heading4"/>
    <w:uiPriority w:val="9"/>
    <w:semiHidden w:val="1"/>
    <w:rsid w:val="00FC693F"/>
    <w:rPr>
      <w:rFonts w:asciiTheme="majorHAnsi" w:hAnsiTheme="majorHAnsi" w:eastAsiaTheme="majorEastAsia" w:cstheme="majorBidi"/>
      <w:color w:val="4F81BD" w:themeColor="accent1"/>
      <w:b w:val="1"/>
      <w:i w:val="1"/>
      <w:bCs w:val="1"/>
      <w:iCs w:val="1"/>
    </w:rPr>
  </w:style>
  <w:style w:type="paragraph" w:styleId="Heading5">
    <w:name w:val="heading 5"/>
    <w:basedOn w:val="Normal"/>
    <w:next w:val="Normal"/>
    <w:link w:val="Heading5Char"/>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character" w:styleId="Heading5Char" w:customStyle="1">
    <w:name w:val="Heading 5 Char"/>
    <w:basedOn w:val="DefaultParagraphFont"/>
    <w:link w:val="Heading5"/>
    <w:uiPriority w:val="9"/>
    <w:semiHidden w:val="1"/>
    <w:rsid w:val="00FC693F"/>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color w:val="243F60" w:themeColor="accent1" w:themeShade="7F"/>
      <w:i w:val="1"/>
      <w:iCs w:val="1"/>
    </w:rPr>
  </w:style>
  <w:style w:type="character" w:styleId="Heading6Char" w:customStyle="1">
    <w:name w:val="Heading 6 Char"/>
    <w:basedOn w:val="DefaultParagraphFont"/>
    <w:link w:val="Heading6"/>
    <w:uiPriority w:val="9"/>
    <w:semiHidden w:val="1"/>
    <w:rsid w:val="00FC693F"/>
    <w:rPr>
      <w:rFonts w:asciiTheme="majorHAnsi" w:hAnsiTheme="majorHAnsi" w:eastAsiaTheme="majorEastAsia" w:cstheme="majorBidi"/>
      <w:color w:val="243F60" w:themeColor="accent1" w:themeShade="7F"/>
      <w:i w:val="1"/>
      <w:iCs w:val="1"/>
    </w:rPr>
  </w:style>
  <w:style w:type="paragraph" w:styleId="Heading7">
    <w:name w:val="heading 7"/>
    <w:basedOn w:val="Normal"/>
    <w:next w:val="Normal"/>
    <w:link w:val="Heading7Char"/>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color w:val="404040" w:themeColor="text1" w:themeTint="BF"/>
      <w:i w:val="1"/>
      <w:iCs w:val="1"/>
    </w:rPr>
  </w:style>
  <w:style w:type="character" w:styleId="Heading7Char" w:customStyle="1">
    <w:name w:val="Heading 7 Char"/>
    <w:basedOn w:val="DefaultParagraphFont"/>
    <w:link w:val="Heading7"/>
    <w:uiPriority w:val="9"/>
    <w:semiHidden w:val="1"/>
    <w:rsid w:val="00FC693F"/>
    <w:rPr>
      <w:rFonts w:asciiTheme="majorHAnsi" w:hAnsiTheme="majorHAnsi" w:eastAsiaTheme="majorEastAsia" w:cstheme="majorBidi"/>
      <w:color w:val="404040" w:themeColor="text1" w:themeTint="BF"/>
      <w:i w:val="1"/>
      <w:iCs w:val="1"/>
    </w:rPr>
  </w:style>
  <w:style w:type="paragraph" w:styleId="Heading8">
    <w:name w:val="heading 8"/>
    <w:basedOn w:val="Normal"/>
    <w:next w:val="Normal"/>
    <w:link w:val="Heading8Char"/>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sz w:val="20"/>
      <w:color w:val="4F81BD" w:themeColor="accent1"/>
      <w:szCs w:val="20"/>
    </w:rPr>
  </w:style>
  <w:style w:type="character" w:styleId="Heading8Char" w:customStyle="1">
    <w:name w:val="Heading 8 Char"/>
    <w:basedOn w:val="DefaultParagraphFont"/>
    <w:link w:val="Heading8"/>
    <w:uiPriority w:val="9"/>
    <w:semiHidden w:val="1"/>
    <w:rsid w:val="00FC693F"/>
    <w:rPr>
      <w:rFonts w:asciiTheme="majorHAnsi" w:hAnsiTheme="majorHAnsi" w:eastAsiaTheme="majorEastAsia" w:cstheme="majorBidi"/>
      <w:sz w:val="20"/>
      <w:color w:val="4F81BD" w:themeColor="accent1"/>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sz w:val="20"/>
      <w:color w:val="404040" w:themeColor="text1" w:themeTint="BF"/>
      <w:i w:val="1"/>
      <w:iCs w:val="1"/>
      <w:szCs w:val="20"/>
    </w:rPr>
  </w:style>
  <w:style w:type="character" w:styleId="Heading9Char" w:customStyle="1">
    <w:name w:val="Heading 9 Char"/>
    <w:basedOn w:val="DefaultParagraphFont"/>
    <w:link w:val="Heading9"/>
    <w:uiPriority w:val="9"/>
    <w:semiHidden w:val="1"/>
    <w:rsid w:val="00FC693F"/>
    <w:rPr>
      <w:rFonts w:asciiTheme="majorHAnsi" w:hAnsiTheme="majorHAnsi" w:eastAsiaTheme="majorEastAsia" w:cstheme="majorBidi"/>
      <w:sz w:val="20"/>
      <w:color w:val="404040" w:themeColor="text1" w:themeTint="BF"/>
      <w:i w:val="1"/>
      <w:iCs w:val="1"/>
      <w:szCs w:val="20"/>
    </w:rPr>
  </w:style>
  <w:style w:type="character" w:styleId="Hyperlink">
    <w:name w:val="Hyperlink"/>
    <w:uiPriority w:val="99"/>
    <w:semiHidden w:val="1"/>
    <w:unhideWhenUsed w:val="1"/>
    <w:rPr>
      <w:color w:val="#2F69C7"/>
      <w:u w:val="single"/>
    </w:rPr>
  </w:style>
  <w:style w:type="character" w:styleId="IntenseEmphasis">
    <w:name w:val="Intense Emphasis"/>
    <w:basedOn w:val="DefaultParagraphFont"/>
    <w:uiPriority w:val="21"/>
    <w:qFormat w:val="1"/>
    <w:rsid w:val="00FC693F"/>
    <w:rPr>
      <w:color w:val="4F81BD" w:themeColor="accent1"/>
      <w:b w:val="1"/>
      <w:i w:val="1"/>
      <w:bCs w:val="1"/>
      <w:iCs w:val="1"/>
    </w:rPr>
  </w:style>
  <w:style w:type="paragraph" w:styleId="IntenseQuote">
    <w:name w:val="Intense Quote"/>
    <w:basedOn w:val="Normal"/>
    <w:next w:val="Normal"/>
    <w:link w:val="IntenseQuoteChar"/>
    <w:uiPriority w:val="30"/>
    <w:qFormat w:val="1"/>
    <w:rsid w:val="00FC693F"/>
    <w:pPr>
      <w:pBdr>
        <w:bottom w:val="single" w:color="4F81BD" w:themeColor="accent1" w:sz="4" w:space="4"/>
      </w:pBdr>
      <w:spacing w:before="200" w:after="280"/>
      <w:ind w:start="936" w:end="936"/>
    </w:pPr>
    <w:rPr>
      <w:color w:val="4F81BD" w:themeColor="accent1"/>
      <w:b w:val="1"/>
      <w:i w:val="1"/>
      <w:bCs w:val="1"/>
      <w:iCs w:val="1"/>
    </w:rPr>
  </w:style>
  <w:style w:type="character" w:styleId="IntenseQuoteChar" w:customStyle="1">
    <w:name w:val="Intense Quote Char"/>
    <w:basedOn w:val="DefaultParagraphFont"/>
    <w:link w:val="IntenseQuote"/>
    <w:uiPriority w:val="30"/>
    <w:rsid w:val="00FC693F"/>
    <w:rPr>
      <w:color w:val="4F81BD" w:themeColor="accent1"/>
      <w:b w:val="1"/>
      <w:i w:val="1"/>
      <w:bCs w:val="1"/>
      <w:iCs w:val="1"/>
    </w:rPr>
  </w:style>
  <w:style w:type="character" w:styleId="IntenseReference">
    <w:name w:val="Intense Reference"/>
    <w:basedOn w:val="DefaultParagraphFont"/>
    <w:uiPriority w:val="32"/>
    <w:qFormat w:val="1"/>
    <w:rsid w:val="00FC693F"/>
    <w:rPr>
      <w:color w:val="C0504D" w:themeColor="accent2"/>
      <w:u w:val="single"/>
      <w:b w:val="1"/>
      <w:smallCaps w:val="1"/>
      <w:spacing w:val="5"/>
      <w:bCs w:val="1"/>
    </w:r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start w:w="108" w:type="dxa"/>
        <w:bottom w:w="0" w:type="dxa"/>
        <w:end w:w="108" w:type="dxa"/>
      </w:tblCellMar>
    </w:tblPr>
    <w:tblStylePr w:type="band1Horz">
      <w:tblPr/>
      <w:tcPr>
        <w:tcBorders>
          <w:top w:val="single" w:color="000000" w:themeColor="text1" w:sz="8" w:space="0"/>
          <w:start w:val="single" w:color="000000" w:themeColor="text1" w:sz="8" w:space="0"/>
          <w:bottom w:val="single" w:color="000000" w:themeColor="text1" w:sz="8" w:space="0"/>
          <w:end w:val="single" w:color="000000" w:themeColor="text1" w:sz="8" w:space="0"/>
          <w:insideV w:val="single" w:color="000000" w:themeColor="text1" w:sz="8" w:space="0"/>
        </w:tcBorders>
        <w:shd w:val="clear" w:color="auto" w:fill="C0C0C0" w:themeFill="text1" w:themeFillTint="3F"/>
      </w:tcPr>
    </w:tblStylePr>
    <w:tblStylePr w:type="band1Vert">
      <w:tblPr/>
      <w:tcPr>
        <w:tcBorders>
          <w:top w:val="single" w:color="000000" w:themeColor="text1" w:sz="8" w:space="0"/>
          <w:start w:val="single" w:color="000000" w:themeColor="text1" w:sz="8" w:space="0"/>
          <w:bottom w:val="single" w:color="000000" w:themeColor="text1" w:sz="8" w:space="0"/>
          <w:end w:val="single" w:color="000000" w:themeColor="text1" w:sz="8" w:space="0"/>
        </w:tcBorders>
        <w:shd w:val="clear" w:color="auto" w:fill="C0C0C0" w:themeFill="text1" w:themeFillTint="3F"/>
      </w:tcPr>
    </w:tblStylePr>
    <w:tblStylePr w:type="band2Horz">
      <w:tblPr/>
      <w:tcPr>
        <w:tcBorders>
          <w:top w:val="single" w:color="000000" w:themeColor="text1" w:sz="8" w:space="0"/>
          <w:start w:val="single" w:color="000000" w:themeColor="text1" w:sz="8" w:space="0"/>
          <w:bottom w:val="single" w:color="000000" w:themeColor="text1" w:sz="8" w:space="0"/>
          <w:end w:val="single" w:color="000000" w:themeColor="text1" w:sz="8" w:space="0"/>
          <w:insideV w:val="single" w:color="000000" w:themeColor="text1"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start w:val="single" w:color="000000" w:themeColor="text1" w:sz="8" w:space="0"/>
          <w:bottom w:val="single" w:color="000000" w:themeColor="text1" w:sz="18" w:space="0"/>
          <w:end w:val="single" w:color="000000" w:themeColor="text1" w:sz="8" w:space="0"/>
          <w:insideH w:val="nil" w:sz="0"/>
          <w:insideV w:val="single" w:color="000000" w:themeColor="text1" w:sz="8" w:space="0"/>
        </w:tcBorders>
      </w:tcPr>
    </w:tblStylePr>
    <w:tblStylePr w:type="lastCol">
      <w:rPr>
        <w:rFonts w:asciiTheme="majorHAnsi" w:hAnsiTheme="majorHAnsi" w:eastAsiaTheme="majorEastAsia" w:cstheme="majorBidi"/>
        <w:b w:val="1"/>
        <w:bCs w:val="1"/>
      </w:rPr>
      <w:tblPr/>
      <w:tcPr>
        <w:tcBorders>
          <w:top w:val="single" w:color="000000" w:themeColor="text1" w:sz="8" w:space="0"/>
          <w:start w:val="single" w:color="000000" w:themeColor="text1" w:sz="8" w:space="0"/>
          <w:bottom w:val="single" w:color="000000" w:themeColor="text1" w:sz="8" w:space="0"/>
          <w:end w:val="single" w:color="000000" w:themeColor="tex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start w:val="single" w:color="000000" w:themeColor="text1" w:sz="8" w:space="0"/>
          <w:bottom w:val="single" w:color="000000" w:themeColor="text1" w:sz="8" w:space="0"/>
          <w:end w:val="single" w:color="000000" w:themeColor="text1" w:sz="8" w:space="0"/>
          <w:insideH w:val="nil" w:sz="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start w:w="108" w:type="dxa"/>
        <w:bottom w:w="0" w:type="dxa"/>
        <w:end w:w="108" w:type="dxa"/>
      </w:tblCellMar>
    </w:tblPr>
    <w:tblStylePr w:type="band1Horz">
      <w:tblPr/>
      <w:tcPr>
        <w:tcBorders>
          <w:top w:val="single" w:color="4F81BD" w:themeColor="accent1" w:sz="8" w:space="0"/>
          <w:start w:val="single" w:color="4F81BD" w:themeColor="accent1" w:sz="8" w:space="0"/>
          <w:bottom w:val="single" w:color="4F81BD" w:themeColor="accent1" w:sz="8" w:space="0"/>
          <w:end w:val="single" w:color="4F81BD" w:themeColor="accent1" w:sz="8" w:space="0"/>
          <w:insideV w:val="single" w:color="4F81BD" w:themeColor="accent1" w:sz="8" w:space="0"/>
        </w:tcBorders>
        <w:shd w:val="clear" w:color="auto" w:fill="D3DFEE" w:themeFill="accent1" w:themeFillTint="3F"/>
      </w:tcPr>
    </w:tblStylePr>
    <w:tblStylePr w:type="band1Vert">
      <w:tblPr/>
      <w:tcPr>
        <w:tcBorders>
          <w:top w:val="single" w:color="4F81BD" w:themeColor="accent1" w:sz="8" w:space="0"/>
          <w:start w:val="single" w:color="4F81BD" w:themeColor="accent1" w:sz="8" w:space="0"/>
          <w:bottom w:val="single" w:color="4F81BD" w:themeColor="accent1" w:sz="8" w:space="0"/>
          <w:end w:val="single" w:color="4F81BD" w:themeColor="accent1" w:sz="8" w:space="0"/>
        </w:tcBorders>
        <w:shd w:val="clear" w:color="auto" w:fill="D3DFEE" w:themeFill="accent1" w:themeFillTint="3F"/>
      </w:tcPr>
    </w:tblStylePr>
    <w:tblStylePr w:type="band2Horz">
      <w:tblPr/>
      <w:tcPr>
        <w:tcBorders>
          <w:top w:val="single" w:color="4F81BD" w:themeColor="accent1" w:sz="8" w:space="0"/>
          <w:start w:val="single" w:color="4F81BD" w:themeColor="accent1" w:sz="8" w:space="0"/>
          <w:bottom w:val="single" w:color="4F81BD" w:themeColor="accent1" w:sz="8" w:space="0"/>
          <w:end w:val="single" w:color="4F81BD" w:themeColor="accent1" w:sz="8" w:space="0"/>
          <w:insideV w:val="single" w:color="4F81BD" w:themeColor="accent1"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start w:val="single" w:color="4F81BD" w:themeColor="accent1" w:sz="8" w:space="0"/>
          <w:bottom w:val="single" w:color="4F81BD" w:themeColor="accent1" w:sz="18" w:space="0"/>
          <w:end w:val="single" w:color="4F81BD" w:themeColor="accent1" w:sz="8" w:space="0"/>
          <w:insideH w:val="nil" w:sz="0"/>
          <w:insideV w:val="single" w:color="4F81BD" w:themeColor="accent1" w:sz="8" w:space="0"/>
        </w:tcBorders>
      </w:tcPr>
    </w:tblStylePr>
    <w:tblStylePr w:type="lastCol">
      <w:rPr>
        <w:rFonts w:asciiTheme="majorHAnsi" w:hAnsiTheme="majorHAnsi" w:eastAsiaTheme="majorEastAsia" w:cstheme="majorBidi"/>
        <w:b w:val="1"/>
        <w:bCs w:val="1"/>
      </w:rPr>
      <w:tblPr/>
      <w:tcPr>
        <w:tcBorders>
          <w:top w:val="single" w:color="4F81BD" w:themeColor="accent1" w:sz="8" w:space="0"/>
          <w:start w:val="single" w:color="4F81BD" w:themeColor="accent1" w:sz="8" w:space="0"/>
          <w:bottom w:val="single" w:color="4F81BD" w:themeColor="accent1" w:sz="8" w:space="0"/>
          <w:end w:val="single" w:color="4F81BD" w:themeColor="accen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start w:val="single" w:color="4F81BD" w:themeColor="accent1" w:sz="8" w:space="0"/>
          <w:bottom w:val="single" w:color="4F81BD" w:themeColor="accent1" w:sz="8" w:space="0"/>
          <w:end w:val="single" w:color="4F81BD" w:themeColor="accent1" w:sz="8" w:space="0"/>
          <w:insideH w:val="nil" w:sz="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start w:w="108" w:type="dxa"/>
        <w:bottom w:w="0" w:type="dxa"/>
        <w:end w:w="108" w:type="dxa"/>
      </w:tblCellMar>
    </w:tblPr>
    <w:tblStylePr w:type="band1Horz">
      <w:tblPr/>
      <w:tcPr>
        <w:tcBorders>
          <w:top w:val="single" w:color="C0504D" w:themeColor="accent2" w:sz="8" w:space="0"/>
          <w:start w:val="single" w:color="C0504D" w:themeColor="accent2" w:sz="8" w:space="0"/>
          <w:bottom w:val="single" w:color="C0504D" w:themeColor="accent2" w:sz="8" w:space="0"/>
          <w:end w:val="single" w:color="C0504D" w:themeColor="accent2" w:sz="8" w:space="0"/>
          <w:insideV w:val="single" w:color="C0504D" w:themeColor="accent2" w:sz="8" w:space="0"/>
        </w:tcBorders>
        <w:shd w:val="clear" w:color="auto" w:fill="EFD3D2" w:themeFill="accent2" w:themeFillTint="3F"/>
      </w:tcPr>
    </w:tblStylePr>
    <w:tblStylePr w:type="band1Vert">
      <w:tblPr/>
      <w:tcPr>
        <w:tcBorders>
          <w:top w:val="single" w:color="C0504D" w:themeColor="accent2" w:sz="8" w:space="0"/>
          <w:start w:val="single" w:color="C0504D" w:themeColor="accent2" w:sz="8" w:space="0"/>
          <w:bottom w:val="single" w:color="C0504D" w:themeColor="accent2" w:sz="8" w:space="0"/>
          <w:end w:val="single" w:color="C0504D" w:themeColor="accent2" w:sz="8" w:space="0"/>
        </w:tcBorders>
        <w:shd w:val="clear" w:color="auto" w:fill="EFD3D2" w:themeFill="accent2" w:themeFillTint="3F"/>
      </w:tcPr>
    </w:tblStylePr>
    <w:tblStylePr w:type="band2Horz">
      <w:tblPr/>
      <w:tcPr>
        <w:tcBorders>
          <w:top w:val="single" w:color="C0504D" w:themeColor="accent2" w:sz="8" w:space="0"/>
          <w:start w:val="single" w:color="C0504D" w:themeColor="accent2" w:sz="8" w:space="0"/>
          <w:bottom w:val="single" w:color="C0504D" w:themeColor="accent2" w:sz="8" w:space="0"/>
          <w:end w:val="single" w:color="C0504D" w:themeColor="accent2" w:sz="8" w:space="0"/>
          <w:insideV w:val="single" w:color="C0504D" w:themeColor="accent2"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start w:val="single" w:color="C0504D" w:themeColor="accent2" w:sz="8" w:space="0"/>
          <w:bottom w:val="single" w:color="C0504D" w:themeColor="accent2" w:sz="18" w:space="0"/>
          <w:end w:val="single" w:color="C0504D" w:themeColor="accent2" w:sz="8" w:space="0"/>
          <w:insideH w:val="nil" w:sz="0"/>
          <w:insideV w:val="single" w:color="C0504D" w:themeColor="accent2" w:sz="8" w:space="0"/>
        </w:tcBorders>
      </w:tcPr>
    </w:tblStylePr>
    <w:tblStylePr w:type="lastCol">
      <w:rPr>
        <w:rFonts w:asciiTheme="majorHAnsi" w:hAnsiTheme="majorHAnsi" w:eastAsiaTheme="majorEastAsia" w:cstheme="majorBidi"/>
        <w:b w:val="1"/>
        <w:bCs w:val="1"/>
      </w:rPr>
      <w:tblPr/>
      <w:tcPr>
        <w:tcBorders>
          <w:top w:val="single" w:color="C0504D" w:themeColor="accent2" w:sz="8" w:space="0"/>
          <w:start w:val="single" w:color="C0504D" w:themeColor="accent2" w:sz="8" w:space="0"/>
          <w:bottom w:val="single" w:color="C0504D" w:themeColor="accent2" w:sz="8" w:space="0"/>
          <w:end w:val="single" w:color="C0504D" w:themeColor="accent2"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start w:val="single" w:color="C0504D" w:themeColor="accent2" w:sz="8" w:space="0"/>
          <w:bottom w:val="single" w:color="C0504D" w:themeColor="accent2" w:sz="8" w:space="0"/>
          <w:end w:val="single" w:color="C0504D" w:themeColor="accent2" w:sz="8" w:space="0"/>
          <w:insideH w:val="nil" w:sz="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start w:w="108" w:type="dxa"/>
        <w:bottom w:w="0" w:type="dxa"/>
        <w:end w:w="108" w:type="dxa"/>
      </w:tblCellMar>
    </w:tblPr>
    <w:tblStylePr w:type="band1Horz">
      <w:tblPr/>
      <w:tcPr>
        <w:tcBorders>
          <w:top w:val="single" w:color="9BBB59" w:themeColor="accent3" w:sz="8" w:space="0"/>
          <w:start w:val="single" w:color="9BBB59" w:themeColor="accent3" w:sz="8" w:space="0"/>
          <w:bottom w:val="single" w:color="9BBB59" w:themeColor="accent3" w:sz="8" w:space="0"/>
          <w:end w:val="single" w:color="9BBB59" w:themeColor="accent3" w:sz="8" w:space="0"/>
          <w:insideV w:val="single" w:color="9BBB59" w:themeColor="accent3" w:sz="8" w:space="0"/>
        </w:tcBorders>
        <w:shd w:val="clear" w:color="auto" w:fill="E6EED5" w:themeFill="accent3" w:themeFillTint="3F"/>
      </w:tcPr>
    </w:tblStylePr>
    <w:tblStylePr w:type="band1Vert">
      <w:tblPr/>
      <w:tcPr>
        <w:tcBorders>
          <w:top w:val="single" w:color="9BBB59" w:themeColor="accent3" w:sz="8" w:space="0"/>
          <w:start w:val="single" w:color="9BBB59" w:themeColor="accent3" w:sz="8" w:space="0"/>
          <w:bottom w:val="single" w:color="9BBB59" w:themeColor="accent3" w:sz="8" w:space="0"/>
          <w:end w:val="single" w:color="9BBB59" w:themeColor="accent3" w:sz="8" w:space="0"/>
        </w:tcBorders>
        <w:shd w:val="clear" w:color="auto" w:fill="E6EED5" w:themeFill="accent3" w:themeFillTint="3F"/>
      </w:tcPr>
    </w:tblStylePr>
    <w:tblStylePr w:type="band2Horz">
      <w:tblPr/>
      <w:tcPr>
        <w:tcBorders>
          <w:top w:val="single" w:color="9BBB59" w:themeColor="accent3" w:sz="8" w:space="0"/>
          <w:start w:val="single" w:color="9BBB59" w:themeColor="accent3" w:sz="8" w:space="0"/>
          <w:bottom w:val="single" w:color="9BBB59" w:themeColor="accent3" w:sz="8" w:space="0"/>
          <w:end w:val="single" w:color="9BBB59" w:themeColor="accent3" w:sz="8" w:space="0"/>
          <w:insideV w:val="single" w:color="9BBB59" w:themeColor="accent3"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start w:val="single" w:color="9BBB59" w:themeColor="accent3" w:sz="8" w:space="0"/>
          <w:bottom w:val="single" w:color="9BBB59" w:themeColor="accent3" w:sz="18" w:space="0"/>
          <w:end w:val="single" w:color="9BBB59" w:themeColor="accent3" w:sz="8" w:space="0"/>
          <w:insideH w:val="nil" w:sz="0"/>
          <w:insideV w:val="single" w:color="9BBB59" w:themeColor="accent3" w:sz="8" w:space="0"/>
        </w:tcBorders>
      </w:tcPr>
    </w:tblStylePr>
    <w:tblStylePr w:type="lastCol">
      <w:rPr>
        <w:rFonts w:asciiTheme="majorHAnsi" w:hAnsiTheme="majorHAnsi" w:eastAsiaTheme="majorEastAsia" w:cstheme="majorBidi"/>
        <w:b w:val="1"/>
        <w:bCs w:val="1"/>
      </w:rPr>
      <w:tblPr/>
      <w:tcPr>
        <w:tcBorders>
          <w:top w:val="single" w:color="9BBB59" w:themeColor="accent3" w:sz="8" w:space="0"/>
          <w:start w:val="single" w:color="9BBB59" w:themeColor="accent3" w:sz="8" w:space="0"/>
          <w:bottom w:val="single" w:color="9BBB59" w:themeColor="accent3" w:sz="8" w:space="0"/>
          <w:end w:val="single" w:color="9BBB59" w:themeColor="accent3"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start w:val="single" w:color="9BBB59" w:themeColor="accent3" w:sz="8" w:space="0"/>
          <w:bottom w:val="single" w:color="9BBB59" w:themeColor="accent3" w:sz="8" w:space="0"/>
          <w:end w:val="single" w:color="9BBB59" w:themeColor="accent3" w:sz="8" w:space="0"/>
          <w:insideH w:val="nil" w:sz="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start w:w="108" w:type="dxa"/>
        <w:bottom w:w="0" w:type="dxa"/>
        <w:end w:w="108" w:type="dxa"/>
      </w:tblCellMar>
    </w:tblPr>
    <w:tblStylePr w:type="band1Horz">
      <w:tblPr/>
      <w:tcPr>
        <w:tcBorders>
          <w:top w:val="single" w:color="8064A2" w:themeColor="accent4" w:sz="8" w:space="0"/>
          <w:start w:val="single" w:color="8064A2" w:themeColor="accent4" w:sz="8" w:space="0"/>
          <w:bottom w:val="single" w:color="8064A2" w:themeColor="accent4" w:sz="8" w:space="0"/>
          <w:end w:val="single" w:color="8064A2" w:themeColor="accent4" w:sz="8" w:space="0"/>
          <w:insideV w:val="single" w:color="8064A2" w:themeColor="accent4" w:sz="8" w:space="0"/>
        </w:tcBorders>
        <w:shd w:val="clear" w:color="auto" w:fill="DFD8E8" w:themeFill="accent4" w:themeFillTint="3F"/>
      </w:tcPr>
    </w:tblStylePr>
    <w:tblStylePr w:type="band1Vert">
      <w:tblPr/>
      <w:tcPr>
        <w:tcBorders>
          <w:top w:val="single" w:color="8064A2" w:themeColor="accent4" w:sz="8" w:space="0"/>
          <w:start w:val="single" w:color="8064A2" w:themeColor="accent4" w:sz="8" w:space="0"/>
          <w:bottom w:val="single" w:color="8064A2" w:themeColor="accent4" w:sz="8" w:space="0"/>
          <w:end w:val="single" w:color="8064A2" w:themeColor="accent4" w:sz="8" w:space="0"/>
        </w:tcBorders>
        <w:shd w:val="clear" w:color="auto" w:fill="DFD8E8" w:themeFill="accent4" w:themeFillTint="3F"/>
      </w:tcPr>
    </w:tblStylePr>
    <w:tblStylePr w:type="band2Horz">
      <w:tblPr/>
      <w:tcPr>
        <w:tcBorders>
          <w:top w:val="single" w:color="8064A2" w:themeColor="accent4" w:sz="8" w:space="0"/>
          <w:start w:val="single" w:color="8064A2" w:themeColor="accent4" w:sz="8" w:space="0"/>
          <w:bottom w:val="single" w:color="8064A2" w:themeColor="accent4" w:sz="8" w:space="0"/>
          <w:end w:val="single" w:color="8064A2" w:themeColor="accent4" w:sz="8" w:space="0"/>
          <w:insideV w:val="single" w:color="8064A2" w:themeColor="accent4"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start w:val="single" w:color="8064A2" w:themeColor="accent4" w:sz="8" w:space="0"/>
          <w:bottom w:val="single" w:color="8064A2" w:themeColor="accent4" w:sz="18" w:space="0"/>
          <w:end w:val="single" w:color="8064A2" w:themeColor="accent4" w:sz="8" w:space="0"/>
          <w:insideH w:val="nil" w:sz="0"/>
          <w:insideV w:val="single" w:color="8064A2" w:themeColor="accent4"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start w:val="single" w:color="8064A2" w:themeColor="accent4" w:sz="8" w:space="0"/>
          <w:bottom w:val="single" w:color="8064A2" w:themeColor="accent4" w:sz="8" w:space="0"/>
          <w:end w:val="single" w:color="8064A2" w:themeColor="accent4"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start w:val="single" w:color="8064A2" w:themeColor="accent4" w:sz="8" w:space="0"/>
          <w:bottom w:val="single" w:color="8064A2" w:themeColor="accent4" w:sz="8" w:space="0"/>
          <w:end w:val="single" w:color="8064A2" w:themeColor="accent4" w:sz="8" w:space="0"/>
          <w:insideH w:val="nil" w:sz="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start w:w="108" w:type="dxa"/>
        <w:bottom w:w="0" w:type="dxa"/>
        <w:end w:w="108" w:type="dxa"/>
      </w:tblCellMar>
    </w:tblPr>
    <w:tblStylePr w:type="band1Horz">
      <w:tblPr/>
      <w:tcPr>
        <w:tcBorders>
          <w:top w:val="single" w:color="4BACC6" w:themeColor="accent5" w:sz="8" w:space="0"/>
          <w:start w:val="single" w:color="4BACC6" w:themeColor="accent5" w:sz="8" w:space="0"/>
          <w:bottom w:val="single" w:color="4BACC6" w:themeColor="accent5" w:sz="8" w:space="0"/>
          <w:end w:val="single" w:color="4BACC6" w:themeColor="accent5" w:sz="8" w:space="0"/>
          <w:insideV w:val="single" w:color="4BACC6" w:themeColor="accent5" w:sz="8" w:space="0"/>
        </w:tcBorders>
        <w:shd w:val="clear" w:color="auto" w:fill="D2EAF1" w:themeFill="accent5" w:themeFillTint="3F"/>
      </w:tcPr>
    </w:tblStylePr>
    <w:tblStylePr w:type="band1Vert">
      <w:tblPr/>
      <w:tcPr>
        <w:tcBorders>
          <w:top w:val="single" w:color="4BACC6" w:themeColor="accent5" w:sz="8" w:space="0"/>
          <w:start w:val="single" w:color="4BACC6" w:themeColor="accent5" w:sz="8" w:space="0"/>
          <w:bottom w:val="single" w:color="4BACC6" w:themeColor="accent5" w:sz="8" w:space="0"/>
          <w:end w:val="single" w:color="4BACC6" w:themeColor="accent5" w:sz="8" w:space="0"/>
        </w:tcBorders>
        <w:shd w:val="clear" w:color="auto" w:fill="D2EAF1" w:themeFill="accent5" w:themeFillTint="3F"/>
      </w:tcPr>
    </w:tblStylePr>
    <w:tblStylePr w:type="band2Horz">
      <w:tblPr/>
      <w:tcPr>
        <w:tcBorders>
          <w:top w:val="single" w:color="4BACC6" w:themeColor="accent5" w:sz="8" w:space="0"/>
          <w:start w:val="single" w:color="4BACC6" w:themeColor="accent5" w:sz="8" w:space="0"/>
          <w:bottom w:val="single" w:color="4BACC6" w:themeColor="accent5" w:sz="8" w:space="0"/>
          <w:end w:val="single" w:color="4BACC6" w:themeColor="accent5" w:sz="8" w:space="0"/>
          <w:insideV w:val="single" w:color="4BACC6" w:themeColor="accent5"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start w:val="single" w:color="4BACC6" w:themeColor="accent5" w:sz="8" w:space="0"/>
          <w:bottom w:val="single" w:color="4BACC6" w:themeColor="accent5" w:sz="18" w:space="0"/>
          <w:end w:val="single" w:color="4BACC6" w:themeColor="accent5" w:sz="8" w:space="0"/>
          <w:insideH w:val="nil" w:sz="0"/>
          <w:insideV w:val="single" w:color="4BACC6" w:themeColor="accent5" w:sz="8" w:space="0"/>
        </w:tcBorders>
      </w:tcPr>
    </w:tblStylePr>
    <w:tblStylePr w:type="lastCol">
      <w:rPr>
        <w:rFonts w:asciiTheme="majorHAnsi" w:hAnsiTheme="majorHAnsi" w:eastAsiaTheme="majorEastAsia" w:cstheme="majorBidi"/>
        <w:b w:val="1"/>
        <w:bCs w:val="1"/>
      </w:rPr>
      <w:tblPr/>
      <w:tcPr>
        <w:tcBorders>
          <w:top w:val="single" w:color="4BACC6" w:themeColor="accent5" w:sz="8" w:space="0"/>
          <w:start w:val="single" w:color="4BACC6" w:themeColor="accent5" w:sz="8" w:space="0"/>
          <w:bottom w:val="single" w:color="4BACC6" w:themeColor="accent5" w:sz="8" w:space="0"/>
          <w:end w:val="single" w:color="4BACC6" w:themeColor="accent5"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start w:val="single" w:color="4BACC6" w:themeColor="accent5" w:sz="8" w:space="0"/>
          <w:bottom w:val="single" w:color="4BACC6" w:themeColor="accent5" w:sz="8" w:space="0"/>
          <w:end w:val="single" w:color="4BACC6" w:themeColor="accent5" w:sz="8" w:space="0"/>
          <w:insideH w:val="nil" w:sz="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start w:w="108" w:type="dxa"/>
        <w:bottom w:w="0" w:type="dxa"/>
        <w:end w:w="108" w:type="dxa"/>
      </w:tblCellMar>
    </w:tblPr>
    <w:tblStylePr w:type="band1Horz">
      <w:tblPr/>
      <w:tcPr>
        <w:tcBorders>
          <w:top w:val="single" w:color="F79646" w:themeColor="accent6" w:sz="8" w:space="0"/>
          <w:start w:val="single" w:color="F79646" w:themeColor="accent6" w:sz="8" w:space="0"/>
          <w:bottom w:val="single" w:color="F79646" w:themeColor="accent6" w:sz="8" w:space="0"/>
          <w:end w:val="single" w:color="F79646" w:themeColor="accent6" w:sz="8" w:space="0"/>
          <w:insideV w:val="single" w:color="F79646" w:themeColor="accent6" w:sz="8" w:space="0"/>
        </w:tcBorders>
        <w:shd w:val="clear" w:color="auto" w:fill="FDE4D0" w:themeFill="accent6" w:themeFillTint="3F"/>
      </w:tcPr>
    </w:tblStylePr>
    <w:tblStylePr w:type="band1Vert">
      <w:tblPr/>
      <w:tcPr>
        <w:tcBorders>
          <w:top w:val="single" w:color="F79646" w:themeColor="accent6" w:sz="8" w:space="0"/>
          <w:start w:val="single" w:color="F79646" w:themeColor="accent6" w:sz="8" w:space="0"/>
          <w:bottom w:val="single" w:color="F79646" w:themeColor="accent6" w:sz="8" w:space="0"/>
          <w:end w:val="single" w:color="F79646" w:themeColor="accent6" w:sz="8" w:space="0"/>
        </w:tcBorders>
        <w:shd w:val="clear" w:color="auto" w:fill="FDE4D0" w:themeFill="accent6" w:themeFillTint="3F"/>
      </w:tcPr>
    </w:tblStylePr>
    <w:tblStylePr w:type="band2Horz">
      <w:tblPr/>
      <w:tcPr>
        <w:tcBorders>
          <w:top w:val="single" w:color="F79646" w:themeColor="accent6" w:sz="8" w:space="0"/>
          <w:start w:val="single" w:color="F79646" w:themeColor="accent6" w:sz="8" w:space="0"/>
          <w:bottom w:val="single" w:color="F79646" w:themeColor="accent6" w:sz="8" w:space="0"/>
          <w:end w:val="single" w:color="F79646" w:themeColor="accent6" w:sz="8" w:space="0"/>
          <w:insideV w:val="single" w:color="F79646" w:themeColor="accent6"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start w:val="single" w:color="F79646" w:themeColor="accent6" w:sz="8" w:space="0"/>
          <w:bottom w:val="single" w:color="F79646" w:themeColor="accent6" w:sz="18" w:space="0"/>
          <w:end w:val="single" w:color="F79646" w:themeColor="accent6" w:sz="8" w:space="0"/>
          <w:insideH w:val="nil" w:sz="0"/>
          <w:insideV w:val="single" w:color="F79646" w:themeColor="accent6" w:sz="8" w:space="0"/>
        </w:tcBorders>
      </w:tcPr>
    </w:tblStylePr>
    <w:tblStylePr w:type="lastCol">
      <w:rPr>
        <w:rFonts w:asciiTheme="majorHAnsi" w:hAnsiTheme="majorHAnsi" w:eastAsiaTheme="majorEastAsia" w:cstheme="majorBidi"/>
        <w:b w:val="1"/>
        <w:bCs w:val="1"/>
      </w:rPr>
      <w:tblPr/>
      <w:tcPr>
        <w:tcBorders>
          <w:top w:val="single" w:color="F79646" w:themeColor="accent6" w:sz="8" w:space="0"/>
          <w:start w:val="single" w:color="F79646" w:themeColor="accent6" w:sz="8" w:space="0"/>
          <w:bottom w:val="single" w:color="F79646" w:themeColor="accent6" w:sz="8" w:space="0"/>
          <w:end w:val="single" w:color="F79646" w:themeColor="accent6"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start w:val="single" w:color="F79646" w:themeColor="accent6" w:sz="8" w:space="0"/>
          <w:bottom w:val="single" w:color="F79646" w:themeColor="accent6" w:sz="8" w:space="0"/>
          <w:end w:val="single" w:color="F79646" w:themeColor="accent6" w:sz="8" w:space="0"/>
          <w:insideH w:val="nil" w:sz="0"/>
          <w:insideV w:val="single" w:color="F79646" w:themeColor="accent6" w:sz="8" w:space="0"/>
        </w:tcBorders>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start w:w="108" w:type="dxa"/>
        <w:bottom w:w="0" w:type="dxa"/>
        <w:end w:w="108" w:type="dxa"/>
      </w:tblCellMar>
    </w:tblPr>
    <w:tblStylePr w:type="band1Horz">
      <w:tblPr/>
      <w:tcPr>
        <w:tcBorders>
          <w:top w:val="single" w:color="000000" w:themeColor="text1" w:sz="8" w:space="0"/>
          <w:start w:val="single" w:color="000000" w:themeColor="text1" w:sz="8" w:space="0"/>
          <w:bottom w:val="single" w:color="000000" w:themeColor="text1" w:sz="8" w:space="0"/>
          <w:end w:val="single" w:color="000000" w:themeColor="text1" w:sz="8" w:space="0"/>
        </w:tcBorders>
      </w:tcPr>
    </w:tblStylePr>
    <w:tblStylePr w:type="band1Vert">
      <w:tblPr/>
      <w:tcPr>
        <w:tcBorders>
          <w:top w:val="single" w:color="000000" w:themeColor="text1" w:sz="8" w:space="0"/>
          <w:start w:val="single" w:color="000000" w:themeColor="text1" w:sz="8" w:space="0"/>
          <w:bottom w:val="single" w:color="000000" w:themeColor="text1" w:sz="8" w:space="0"/>
          <w:end w:val="single" w:color="000000" w:themeColor="text1" w:sz="8" w:space="0"/>
        </w:tcBorders>
      </w:tcPr>
    </w:tblStylePr>
    <w:tblStylePr w:type="firstCol">
      <w:rPr>
        <w:b w:val="1"/>
        <w:bCs w:val="1"/>
      </w:rPr>
    </w:tblStylePr>
    <w:tblStylePr w:type="firstRow">
      <w:pPr>
        <w:spacing w:before="0" w:after="0" w:line="240" w:lineRule="auto"/>
      </w:pPr>
      <w:rPr>
        <w:color w:val="FFFFFF" w:themeColor="background1"/>
        <w:b w:val="1"/>
        <w:bCs w:val="1"/>
      </w:rPr>
      <w:tblPr/>
      <w:tcPr>
        <w:shd w:val="clear" w:color="auto" w:fill="000000" w:themeFill="text1"/>
      </w:tcPr>
    </w:tblStylePr>
    <w:tblStylePr w:type="lastCol">
      <w:rPr>
        <w:b w:val="1"/>
        <w:bCs w:val="1"/>
      </w:rPr>
    </w:tblStylePr>
    <w:tblStylePr w:type="lastRow">
      <w:pPr>
        <w:spacing w:before="0" w:after="0" w:line="240" w:lineRule="auto"/>
      </w:pPr>
      <w:rPr>
        <w:b w:val="1"/>
        <w:bCs w:val="1"/>
      </w:rPr>
      <w:tblPr/>
      <w:tcPr>
        <w:tcBorders>
          <w:top w:val="double" w:color="000000" w:themeColor="text1" w:sz="6" w:space="0"/>
          <w:start w:val="single" w:color="000000" w:themeColor="text1" w:sz="8" w:space="0"/>
          <w:bottom w:val="single" w:color="000000" w:themeColor="text1" w:sz="8" w:space="0"/>
          <w:end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start w:w="108" w:type="dxa"/>
        <w:bottom w:w="0" w:type="dxa"/>
        <w:end w:w="108" w:type="dxa"/>
      </w:tblCellMar>
    </w:tblPr>
    <w:tblStylePr w:type="band1Horz">
      <w:tblPr/>
      <w:tcPr>
        <w:tcBorders>
          <w:top w:val="single" w:color="4F81BD" w:themeColor="accent1" w:sz="8" w:space="0"/>
          <w:start w:val="single" w:color="4F81BD" w:themeColor="accent1" w:sz="8" w:space="0"/>
          <w:bottom w:val="single" w:color="4F81BD" w:themeColor="accent1" w:sz="8" w:space="0"/>
          <w:end w:val="single" w:color="4F81BD" w:themeColor="accent1" w:sz="8" w:space="0"/>
        </w:tcBorders>
      </w:tcPr>
    </w:tblStylePr>
    <w:tblStylePr w:type="band1Vert">
      <w:tblPr/>
      <w:tcPr>
        <w:tcBorders>
          <w:top w:val="single" w:color="4F81BD" w:themeColor="accent1" w:sz="8" w:space="0"/>
          <w:start w:val="single" w:color="4F81BD" w:themeColor="accent1" w:sz="8" w:space="0"/>
          <w:bottom w:val="single" w:color="4F81BD" w:themeColor="accent1" w:sz="8" w:space="0"/>
          <w:end w:val="single" w:color="4F81BD" w:themeColor="accent1" w:sz="8" w:space="0"/>
        </w:tcBorders>
      </w:tcPr>
    </w:tblStylePr>
    <w:tblStylePr w:type="firstCol">
      <w:rPr>
        <w:b w:val="1"/>
        <w:bCs w:val="1"/>
      </w:rPr>
    </w:tblStylePr>
    <w:tblStylePr w:type="firstRow">
      <w:pPr>
        <w:spacing w:before="0" w:after="0" w:line="240" w:lineRule="auto"/>
      </w:pPr>
      <w:rPr>
        <w:color w:val="FFFFFF" w:themeColor="background1"/>
        <w:b w:val="1"/>
        <w:bCs w:val="1"/>
      </w:rPr>
      <w:tblPr/>
      <w:tcPr>
        <w:shd w:val="clear" w:color="auto" w:fill="4F81BD" w:themeFill="accent1"/>
      </w:tcPr>
    </w:tblStylePr>
    <w:tblStylePr w:type="lastCol">
      <w:rPr>
        <w:b w:val="1"/>
        <w:bCs w:val="1"/>
      </w:rPr>
    </w:tblStylePr>
    <w:tblStylePr w:type="lastRow">
      <w:pPr>
        <w:spacing w:before="0" w:after="0" w:line="240" w:lineRule="auto"/>
      </w:pPr>
      <w:rPr>
        <w:b w:val="1"/>
        <w:bCs w:val="1"/>
      </w:rPr>
      <w:tblPr/>
      <w:tcPr>
        <w:tcBorders>
          <w:top w:val="double" w:color="4F81BD" w:themeColor="accent1" w:sz="6" w:space="0"/>
          <w:start w:val="single" w:color="4F81BD" w:themeColor="accent1" w:sz="8" w:space="0"/>
          <w:bottom w:val="single" w:color="4F81BD" w:themeColor="accent1" w:sz="8" w:space="0"/>
          <w:end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start w:w="108" w:type="dxa"/>
        <w:bottom w:w="0" w:type="dxa"/>
        <w:end w:w="108" w:type="dxa"/>
      </w:tblCellMar>
    </w:tblPr>
    <w:tblStylePr w:type="band1Horz">
      <w:tblPr/>
      <w:tcPr>
        <w:tcBorders>
          <w:top w:val="single" w:color="C0504D" w:themeColor="accent2" w:sz="8" w:space="0"/>
          <w:start w:val="single" w:color="C0504D" w:themeColor="accent2" w:sz="8" w:space="0"/>
          <w:bottom w:val="single" w:color="C0504D" w:themeColor="accent2" w:sz="8" w:space="0"/>
          <w:end w:val="single" w:color="C0504D" w:themeColor="accent2" w:sz="8" w:space="0"/>
        </w:tcBorders>
      </w:tcPr>
    </w:tblStylePr>
    <w:tblStylePr w:type="band1Vert">
      <w:tblPr/>
      <w:tcPr>
        <w:tcBorders>
          <w:top w:val="single" w:color="C0504D" w:themeColor="accent2" w:sz="8" w:space="0"/>
          <w:start w:val="single" w:color="C0504D" w:themeColor="accent2" w:sz="8" w:space="0"/>
          <w:bottom w:val="single" w:color="C0504D" w:themeColor="accent2" w:sz="8" w:space="0"/>
          <w:end w:val="single" w:color="C0504D" w:themeColor="accent2" w:sz="8" w:space="0"/>
        </w:tcBorders>
      </w:tcPr>
    </w:tblStylePr>
    <w:tblStylePr w:type="firstCol">
      <w:rPr>
        <w:b w:val="1"/>
        <w:bCs w:val="1"/>
      </w:rPr>
    </w:tblStylePr>
    <w:tblStylePr w:type="firstRow">
      <w:pPr>
        <w:spacing w:before="0" w:after="0" w:line="240" w:lineRule="auto"/>
      </w:pPr>
      <w:rPr>
        <w:color w:val="FFFFFF" w:themeColor="background1"/>
        <w:b w:val="1"/>
        <w:bCs w:val="1"/>
      </w:rPr>
      <w:tblPr/>
      <w:tcPr>
        <w:shd w:val="clear" w:color="auto" w:fill="C0504D" w:themeFill="accent2"/>
      </w:tcPr>
    </w:tblStylePr>
    <w:tblStylePr w:type="lastCol">
      <w:rPr>
        <w:b w:val="1"/>
        <w:bCs w:val="1"/>
      </w:rPr>
    </w:tblStylePr>
    <w:tblStylePr w:type="lastRow">
      <w:pPr>
        <w:spacing w:before="0" w:after="0" w:line="240" w:lineRule="auto"/>
      </w:pPr>
      <w:rPr>
        <w:b w:val="1"/>
        <w:bCs w:val="1"/>
      </w:rPr>
      <w:tblPr/>
      <w:tcPr>
        <w:tcBorders>
          <w:top w:val="double" w:color="C0504D" w:themeColor="accent2" w:sz="6" w:space="0"/>
          <w:start w:val="single" w:color="C0504D" w:themeColor="accent2" w:sz="8" w:space="0"/>
          <w:bottom w:val="single" w:color="C0504D" w:themeColor="accent2" w:sz="8" w:space="0"/>
          <w:end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start w:w="108" w:type="dxa"/>
        <w:bottom w:w="0" w:type="dxa"/>
        <w:end w:w="108" w:type="dxa"/>
      </w:tblCellMar>
    </w:tblPr>
    <w:tblStylePr w:type="band1Horz">
      <w:tblPr/>
      <w:tcPr>
        <w:tcBorders>
          <w:top w:val="single" w:color="9BBB59" w:themeColor="accent3" w:sz="8" w:space="0"/>
          <w:start w:val="single" w:color="9BBB59" w:themeColor="accent3" w:sz="8" w:space="0"/>
          <w:bottom w:val="single" w:color="9BBB59" w:themeColor="accent3" w:sz="8" w:space="0"/>
          <w:end w:val="single" w:color="9BBB59" w:themeColor="accent3" w:sz="8" w:space="0"/>
        </w:tcBorders>
      </w:tcPr>
    </w:tblStylePr>
    <w:tblStylePr w:type="band1Vert">
      <w:tblPr/>
      <w:tcPr>
        <w:tcBorders>
          <w:top w:val="single" w:color="9BBB59" w:themeColor="accent3" w:sz="8" w:space="0"/>
          <w:start w:val="single" w:color="9BBB59" w:themeColor="accent3" w:sz="8" w:space="0"/>
          <w:bottom w:val="single" w:color="9BBB59" w:themeColor="accent3" w:sz="8" w:space="0"/>
          <w:end w:val="single" w:color="9BBB59" w:themeColor="accent3" w:sz="8" w:space="0"/>
        </w:tcBorders>
      </w:tcPr>
    </w:tblStylePr>
    <w:tblStylePr w:type="firstCol">
      <w:rPr>
        <w:b w:val="1"/>
        <w:bCs w:val="1"/>
      </w:rPr>
    </w:tblStylePr>
    <w:tblStylePr w:type="firstRow">
      <w:pPr>
        <w:spacing w:before="0" w:after="0" w:line="240" w:lineRule="auto"/>
      </w:pPr>
      <w:rPr>
        <w:color w:val="FFFFFF" w:themeColor="background1"/>
        <w:b w:val="1"/>
        <w:bCs w:val="1"/>
      </w:rPr>
      <w:tblPr/>
      <w:tcPr>
        <w:shd w:val="clear" w:color="auto" w:fill="9BBB59" w:themeFill="accent3"/>
      </w:tcPr>
    </w:tblStylePr>
    <w:tblStylePr w:type="lastCol">
      <w:rPr>
        <w:b w:val="1"/>
        <w:bCs w:val="1"/>
      </w:rPr>
    </w:tblStylePr>
    <w:tblStylePr w:type="lastRow">
      <w:pPr>
        <w:spacing w:before="0" w:after="0" w:line="240" w:lineRule="auto"/>
      </w:pPr>
      <w:rPr>
        <w:b w:val="1"/>
        <w:bCs w:val="1"/>
      </w:rPr>
      <w:tblPr/>
      <w:tcPr>
        <w:tcBorders>
          <w:top w:val="double" w:color="9BBB59" w:themeColor="accent3" w:sz="6" w:space="0"/>
          <w:start w:val="single" w:color="9BBB59" w:themeColor="accent3" w:sz="8" w:space="0"/>
          <w:bottom w:val="single" w:color="9BBB59" w:themeColor="accent3" w:sz="8" w:space="0"/>
          <w:end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start w:w="108" w:type="dxa"/>
        <w:bottom w:w="0" w:type="dxa"/>
        <w:end w:w="108" w:type="dxa"/>
      </w:tblCellMar>
    </w:tblPr>
    <w:tblStylePr w:type="band1Horz">
      <w:tblPr/>
      <w:tcPr>
        <w:tcBorders>
          <w:top w:val="single" w:color="8064A2" w:themeColor="accent4" w:sz="8" w:space="0"/>
          <w:start w:val="single" w:color="8064A2" w:themeColor="accent4" w:sz="8" w:space="0"/>
          <w:bottom w:val="single" w:color="8064A2" w:themeColor="accent4" w:sz="8" w:space="0"/>
          <w:end w:val="single" w:color="8064A2" w:themeColor="accent4" w:sz="8" w:space="0"/>
        </w:tcBorders>
      </w:tcPr>
    </w:tblStylePr>
    <w:tblStylePr w:type="band1Vert">
      <w:tblPr/>
      <w:tcPr>
        <w:tcBorders>
          <w:top w:val="single" w:color="8064A2" w:themeColor="accent4" w:sz="8" w:space="0"/>
          <w:start w:val="single" w:color="8064A2" w:themeColor="accent4" w:sz="8" w:space="0"/>
          <w:bottom w:val="single" w:color="8064A2" w:themeColor="accent4" w:sz="8" w:space="0"/>
          <w:end w:val="single" w:color="8064A2" w:themeColor="accent4" w:sz="8" w:space="0"/>
        </w:tcBorders>
      </w:tcPr>
    </w:tblStylePr>
    <w:tblStylePr w:type="firstCol">
      <w:rPr>
        <w:b w:val="1"/>
        <w:bCs w:val="1"/>
      </w:rPr>
    </w:tblStylePr>
    <w:tblStylePr w:type="firstRow">
      <w:pPr>
        <w:spacing w:before="0" w:after="0" w:line="240" w:lineRule="auto"/>
      </w:pPr>
      <w:rPr>
        <w:color w:val="FFFFFF" w:themeColor="background1"/>
        <w:b w:val="1"/>
        <w:bCs w:val="1"/>
      </w:rPr>
      <w:tblPr/>
      <w:tcPr>
        <w:shd w:val="clear" w:color="auto" w:fill="8064A2" w:themeFill="accent4"/>
      </w:tcPr>
    </w:tblStylePr>
    <w:tblStylePr w:type="lastCol">
      <w:rPr>
        <w:b w:val="1"/>
        <w:bCs w:val="1"/>
      </w:rPr>
    </w:tblStylePr>
    <w:tblStylePr w:type="lastRow">
      <w:pPr>
        <w:spacing w:before="0" w:after="0" w:line="240" w:lineRule="auto"/>
      </w:pPr>
      <w:rPr>
        <w:b w:val="1"/>
        <w:bCs w:val="1"/>
      </w:rPr>
      <w:tblPr/>
      <w:tcPr>
        <w:tcBorders>
          <w:top w:val="double" w:color="8064A2" w:themeColor="accent4" w:sz="6" w:space="0"/>
          <w:start w:val="single" w:color="8064A2" w:themeColor="accent4" w:sz="8" w:space="0"/>
          <w:bottom w:val="single" w:color="8064A2" w:themeColor="accent4" w:sz="8" w:space="0"/>
          <w:end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start w:w="108" w:type="dxa"/>
        <w:bottom w:w="0" w:type="dxa"/>
        <w:end w:w="108" w:type="dxa"/>
      </w:tblCellMar>
    </w:tblPr>
    <w:tblStylePr w:type="band1Horz">
      <w:tblPr/>
      <w:tcPr>
        <w:tcBorders>
          <w:top w:val="single" w:color="4BACC6" w:themeColor="accent5" w:sz="8" w:space="0"/>
          <w:start w:val="single" w:color="4BACC6" w:themeColor="accent5" w:sz="8" w:space="0"/>
          <w:bottom w:val="single" w:color="4BACC6" w:themeColor="accent5" w:sz="8" w:space="0"/>
          <w:end w:val="single" w:color="4BACC6" w:themeColor="accent5" w:sz="8" w:space="0"/>
        </w:tcBorders>
      </w:tcPr>
    </w:tblStylePr>
    <w:tblStylePr w:type="band1Vert">
      <w:tblPr/>
      <w:tcPr>
        <w:tcBorders>
          <w:top w:val="single" w:color="4BACC6" w:themeColor="accent5" w:sz="8" w:space="0"/>
          <w:start w:val="single" w:color="4BACC6" w:themeColor="accent5" w:sz="8" w:space="0"/>
          <w:bottom w:val="single" w:color="4BACC6" w:themeColor="accent5" w:sz="8" w:space="0"/>
          <w:end w:val="single" w:color="4BACC6" w:themeColor="accent5" w:sz="8" w:space="0"/>
        </w:tcBorders>
      </w:tcPr>
    </w:tblStylePr>
    <w:tblStylePr w:type="firstCol">
      <w:rPr>
        <w:b w:val="1"/>
        <w:bCs w:val="1"/>
      </w:rPr>
    </w:tblStylePr>
    <w:tblStylePr w:type="firstRow">
      <w:pPr>
        <w:spacing w:before="0" w:after="0" w:line="240" w:lineRule="auto"/>
      </w:pPr>
      <w:rPr>
        <w:color w:val="FFFFFF" w:themeColor="background1"/>
        <w:b w:val="1"/>
        <w:bCs w:val="1"/>
      </w:rPr>
      <w:tblPr/>
      <w:tcPr>
        <w:shd w:val="clear" w:color="auto" w:fill="4BACC6" w:themeFill="accent5"/>
      </w:tcPr>
    </w:tblStylePr>
    <w:tblStylePr w:type="lastCol">
      <w:rPr>
        <w:b w:val="1"/>
        <w:bCs w:val="1"/>
      </w:rPr>
    </w:tblStylePr>
    <w:tblStylePr w:type="lastRow">
      <w:pPr>
        <w:spacing w:before="0" w:after="0" w:line="240" w:lineRule="auto"/>
      </w:pPr>
      <w:rPr>
        <w:b w:val="1"/>
        <w:bCs w:val="1"/>
      </w:rPr>
      <w:tblPr/>
      <w:tcPr>
        <w:tcBorders>
          <w:top w:val="double" w:color="4BACC6" w:themeColor="accent5" w:sz="6" w:space="0"/>
          <w:start w:val="single" w:color="4BACC6" w:themeColor="accent5" w:sz="8" w:space="0"/>
          <w:bottom w:val="single" w:color="4BACC6" w:themeColor="accent5" w:sz="8" w:space="0"/>
          <w:end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start w:w="108" w:type="dxa"/>
        <w:bottom w:w="0" w:type="dxa"/>
        <w:end w:w="108" w:type="dxa"/>
      </w:tblCellMar>
    </w:tblPr>
    <w:tblStylePr w:type="band1Horz">
      <w:tblPr/>
      <w:tcPr>
        <w:tcBorders>
          <w:top w:val="single" w:color="F79646" w:themeColor="accent6" w:sz="8" w:space="0"/>
          <w:start w:val="single" w:color="F79646" w:themeColor="accent6" w:sz="8" w:space="0"/>
          <w:bottom w:val="single" w:color="F79646" w:themeColor="accent6" w:sz="8" w:space="0"/>
          <w:end w:val="single" w:color="F79646" w:themeColor="accent6" w:sz="8" w:space="0"/>
        </w:tcBorders>
      </w:tcPr>
    </w:tblStylePr>
    <w:tblStylePr w:type="band1Vert">
      <w:tblPr/>
      <w:tcPr>
        <w:tcBorders>
          <w:top w:val="single" w:color="F79646" w:themeColor="accent6" w:sz="8" w:space="0"/>
          <w:start w:val="single" w:color="F79646" w:themeColor="accent6" w:sz="8" w:space="0"/>
          <w:bottom w:val="single" w:color="F79646" w:themeColor="accent6" w:sz="8" w:space="0"/>
          <w:end w:val="single" w:color="F79646" w:themeColor="accent6" w:sz="8" w:space="0"/>
        </w:tcBorders>
      </w:tcPr>
    </w:tblStylePr>
    <w:tblStylePr w:type="firstCol">
      <w:rPr>
        <w:b w:val="1"/>
        <w:bCs w:val="1"/>
      </w:rPr>
    </w:tblStylePr>
    <w:tblStylePr w:type="firstRow">
      <w:pPr>
        <w:spacing w:before="0" w:after="0" w:line="240" w:lineRule="auto"/>
      </w:pPr>
      <w:rPr>
        <w:color w:val="FFFFFF" w:themeColor="background1"/>
        <w:b w:val="1"/>
        <w:bCs w:val="1"/>
      </w:rPr>
      <w:tblPr/>
      <w:tcPr>
        <w:shd w:val="clear" w:color="auto" w:fill="F79646" w:themeFill="accent6"/>
      </w:tcPr>
    </w:tblStylePr>
    <w:tblStylePr w:type="lastCol">
      <w:rPr>
        <w:b w:val="1"/>
        <w:bCs w:val="1"/>
      </w:rPr>
    </w:tblStylePr>
    <w:tblStylePr w:type="lastRow">
      <w:pPr>
        <w:spacing w:before="0" w:after="0" w:line="240" w:lineRule="auto"/>
      </w:pPr>
      <w:rPr>
        <w:b w:val="1"/>
        <w:bCs w:val="1"/>
      </w:rPr>
      <w:tblPr/>
      <w:tcPr>
        <w:tcBorders>
          <w:top w:val="double" w:color="F79646" w:themeColor="accent6" w:sz="6" w:space="0"/>
          <w:start w:val="single" w:color="F79646" w:themeColor="accent6" w:sz="8" w:space="0"/>
          <w:bottom w:val="single" w:color="F79646" w:themeColor="accent6" w:sz="8" w:space="0"/>
          <w:end w:val="single" w:color="F79646" w:themeColor="accent6" w:sz="8" w:space="0"/>
        </w:tcBorders>
      </w:tcPr>
    </w:tblStyle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start w:w="108" w:type="dxa"/>
        <w:bottom w:w="0" w:type="dxa"/>
        <w:end w:w="108" w:type="dxa"/>
      </w:tblCellMar>
    </w:tblPr>
    <w:tblStylePr w:type="band1Horz">
      <w:tblPr/>
      <w:tcPr>
        <w:tcBorders>
          <w:start w:val="nil" w:sz="0"/>
          <w:end w:val="nil" w:sz="0"/>
          <w:insideH w:val="nil" w:sz="0"/>
          <w:insideV w:val="nil" w:sz="0"/>
        </w:tcBorders>
        <w:shd w:val="clear" w:color="auto" w:fill="C0C0C0" w:themeFill="text1" w:themeFillTint="3F"/>
      </w:tcPr>
    </w:tblStylePr>
    <w:tblStylePr w:type="band1Vert">
      <w:tblPr/>
      <w:tcPr>
        <w:tcBorders>
          <w:start w:val="nil" w:sz="0"/>
          <w:end w:val="nil" w:sz="0"/>
          <w:insideH w:val="nil" w:sz="0"/>
          <w:insideV w:val="nil" w:sz="0"/>
        </w:tcBorders>
        <w:shd w:val="clear" w:color="auto" w:fill="C0C0C0" w:themeFill="text1" w:themeFillTint="3F"/>
      </w:tcPr>
    </w:tblStylePr>
    <w:tblStylePr w:type="firstCol">
      <w:rPr>
        <w:b w:val="1"/>
        <w:bCs w:val="1"/>
      </w:rPr>
    </w:tblStylePr>
    <w:tblStylePr w:type="firstRow">
      <w:pPr>
        <w:spacing w:before="0" w:after="0" w:line="240" w:lineRule="auto"/>
      </w:pPr>
      <w:rPr>
        <w:b w:val="1"/>
        <w:bCs w:val="1"/>
      </w:rPr>
      <w:tblPr/>
      <w:tcPr>
        <w:tcBorders>
          <w:top w:val="single" w:color="000000" w:themeColor="text1" w:sz="8" w:space="0"/>
          <w:start w:val="nil" w:sz="0"/>
          <w:bottom w:val="single" w:color="000000" w:themeColor="text1" w:sz="8" w:space="0"/>
          <w:end w:val="nil" w:sz="0"/>
          <w:insideH w:val="nil" w:sz="0"/>
          <w:insideV w:val="nil" w:sz="0"/>
        </w:tcBorders>
      </w:tcPr>
    </w:tblStylePr>
    <w:tblStylePr w:type="lastCol">
      <w:rPr>
        <w:b w:val="1"/>
        <w:bCs w:val="1"/>
      </w:rPr>
    </w:tblStylePr>
    <w:tblStylePr w:type="lastRow">
      <w:pPr>
        <w:spacing w:before="0" w:after="0" w:line="240" w:lineRule="auto"/>
      </w:pPr>
      <w:rPr>
        <w:b w:val="1"/>
        <w:bCs w:val="1"/>
      </w:rPr>
      <w:tblPr/>
      <w:tcPr>
        <w:tcBorders>
          <w:top w:val="single" w:color="000000" w:themeColor="text1" w:sz="8" w:space="0"/>
          <w:start w:val="nil" w:sz="0"/>
          <w:bottom w:val="single" w:color="000000" w:themeColor="text1" w:sz="8" w:space="0"/>
          <w:end w:val="nil" w:sz="0"/>
          <w:insideH w:val="nil" w:sz="0"/>
          <w:insideV w:val="nil" w:sz="0"/>
        </w:tcBorders>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start w:w="108" w:type="dxa"/>
        <w:bottom w:w="0" w:type="dxa"/>
        <w:end w:w="108" w:type="dxa"/>
      </w:tblCellMar>
    </w:tblPr>
    <w:tblStylePr w:type="band1Horz">
      <w:tblPr/>
      <w:tcPr>
        <w:tcBorders>
          <w:start w:val="nil" w:sz="0"/>
          <w:end w:val="nil" w:sz="0"/>
          <w:insideH w:val="nil" w:sz="0"/>
          <w:insideV w:val="nil" w:sz="0"/>
        </w:tcBorders>
        <w:shd w:val="clear" w:color="auto" w:fill="D3DFEE" w:themeFill="accent1" w:themeFillTint="3F"/>
      </w:tcPr>
    </w:tblStylePr>
    <w:tblStylePr w:type="band1Vert">
      <w:tblPr/>
      <w:tcPr>
        <w:tcBorders>
          <w:start w:val="nil" w:sz="0"/>
          <w:end w:val="nil" w:sz="0"/>
          <w:insideH w:val="nil" w:sz="0"/>
          <w:insideV w:val="nil" w:sz="0"/>
        </w:tcBorders>
        <w:shd w:val="clear" w:color="auto" w:fill="D3DFEE" w:themeFill="accent1" w:themeFillTint="3F"/>
      </w:tcPr>
    </w:tblStylePr>
    <w:tblStylePr w:type="firstCol">
      <w:rPr>
        <w:b w:val="1"/>
        <w:bCs w:val="1"/>
      </w:rPr>
    </w:tblStylePr>
    <w:tblStylePr w:type="firstRow">
      <w:pPr>
        <w:spacing w:before="0" w:after="0" w:line="240" w:lineRule="auto"/>
      </w:pPr>
      <w:rPr>
        <w:b w:val="1"/>
        <w:bCs w:val="1"/>
      </w:rPr>
      <w:tblPr/>
      <w:tcPr>
        <w:tcBorders>
          <w:top w:val="single" w:color="4F81BD" w:themeColor="accent1" w:sz="8" w:space="0"/>
          <w:start w:val="nil" w:sz="0"/>
          <w:bottom w:val="single" w:color="4F81BD" w:themeColor="accent1" w:sz="8" w:space="0"/>
          <w:end w:val="nil" w:sz="0"/>
          <w:insideH w:val="nil" w:sz="0"/>
          <w:insideV w:val="nil" w:sz="0"/>
        </w:tcBorders>
      </w:tcPr>
    </w:tblStylePr>
    <w:tblStylePr w:type="lastCol">
      <w:rPr>
        <w:b w:val="1"/>
        <w:bCs w:val="1"/>
      </w:rPr>
    </w:tblStylePr>
    <w:tblStylePr w:type="lastRow">
      <w:pPr>
        <w:spacing w:before="0" w:after="0" w:line="240" w:lineRule="auto"/>
      </w:pPr>
      <w:rPr>
        <w:b w:val="1"/>
        <w:bCs w:val="1"/>
      </w:rPr>
      <w:tblPr/>
      <w:tcPr>
        <w:tcBorders>
          <w:top w:val="single" w:color="4F81BD" w:themeColor="accent1" w:sz="8" w:space="0"/>
          <w:start w:val="nil" w:sz="0"/>
          <w:bottom w:val="single" w:color="4F81BD" w:themeColor="accent1" w:sz="8" w:space="0"/>
          <w:end w:val="nil" w:sz="0"/>
          <w:insideH w:val="nil" w:sz="0"/>
          <w:insideV w:val="nil" w:sz="0"/>
        </w:tcBorders>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start w:w="108" w:type="dxa"/>
        <w:bottom w:w="0" w:type="dxa"/>
        <w:end w:w="108" w:type="dxa"/>
      </w:tblCellMar>
    </w:tblPr>
    <w:tblStylePr w:type="band1Horz">
      <w:tblPr/>
      <w:tcPr>
        <w:tcBorders>
          <w:start w:val="nil" w:sz="0"/>
          <w:end w:val="nil" w:sz="0"/>
          <w:insideH w:val="nil" w:sz="0"/>
          <w:insideV w:val="nil" w:sz="0"/>
        </w:tcBorders>
        <w:shd w:val="clear" w:color="auto" w:fill="EFD3D2" w:themeFill="accent2" w:themeFillTint="3F"/>
      </w:tcPr>
    </w:tblStylePr>
    <w:tblStylePr w:type="band1Vert">
      <w:tblPr/>
      <w:tcPr>
        <w:tcBorders>
          <w:start w:val="nil" w:sz="0"/>
          <w:end w:val="nil" w:sz="0"/>
          <w:insideH w:val="nil" w:sz="0"/>
          <w:insideV w:val="nil" w:sz="0"/>
        </w:tcBorders>
        <w:shd w:val="clear" w:color="auto" w:fill="EFD3D2" w:themeFill="accent2" w:themeFillTint="3F"/>
      </w:tcPr>
    </w:tblStylePr>
    <w:tblStylePr w:type="firstCol">
      <w:rPr>
        <w:b w:val="1"/>
        <w:bCs w:val="1"/>
      </w:rPr>
    </w:tblStylePr>
    <w:tblStylePr w:type="firstRow">
      <w:pPr>
        <w:spacing w:before="0" w:after="0" w:line="240" w:lineRule="auto"/>
      </w:pPr>
      <w:rPr>
        <w:b w:val="1"/>
        <w:bCs w:val="1"/>
      </w:rPr>
      <w:tblPr/>
      <w:tcPr>
        <w:tcBorders>
          <w:top w:val="single" w:color="C0504D" w:themeColor="accent2" w:sz="8" w:space="0"/>
          <w:start w:val="nil" w:sz="0"/>
          <w:bottom w:val="single" w:color="C0504D" w:themeColor="accent2" w:sz="8" w:space="0"/>
          <w:end w:val="nil" w:sz="0"/>
          <w:insideH w:val="nil" w:sz="0"/>
          <w:insideV w:val="nil" w:sz="0"/>
        </w:tcBorders>
      </w:tcPr>
    </w:tblStylePr>
    <w:tblStylePr w:type="lastCol">
      <w:rPr>
        <w:b w:val="1"/>
        <w:bCs w:val="1"/>
      </w:rPr>
    </w:tblStylePr>
    <w:tblStylePr w:type="lastRow">
      <w:pPr>
        <w:spacing w:before="0" w:after="0" w:line="240" w:lineRule="auto"/>
      </w:pPr>
      <w:rPr>
        <w:b w:val="1"/>
        <w:bCs w:val="1"/>
      </w:rPr>
      <w:tblPr/>
      <w:tcPr>
        <w:tcBorders>
          <w:top w:val="single" w:color="C0504D" w:themeColor="accent2" w:sz="8" w:space="0"/>
          <w:start w:val="nil" w:sz="0"/>
          <w:bottom w:val="single" w:color="C0504D" w:themeColor="accent2" w:sz="8" w:space="0"/>
          <w:end w:val="nil" w:sz="0"/>
          <w:insideH w:val="nil" w:sz="0"/>
          <w:insideV w:val="nil" w:sz="0"/>
        </w:tcBorders>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start w:w="108" w:type="dxa"/>
        <w:bottom w:w="0" w:type="dxa"/>
        <w:end w:w="108" w:type="dxa"/>
      </w:tblCellMar>
    </w:tblPr>
    <w:tblStylePr w:type="band1Horz">
      <w:tblPr/>
      <w:tcPr>
        <w:tcBorders>
          <w:start w:val="nil" w:sz="0"/>
          <w:end w:val="nil" w:sz="0"/>
          <w:insideH w:val="nil" w:sz="0"/>
          <w:insideV w:val="nil" w:sz="0"/>
        </w:tcBorders>
        <w:shd w:val="clear" w:color="auto" w:fill="E6EED5" w:themeFill="accent3" w:themeFillTint="3F"/>
      </w:tcPr>
    </w:tblStylePr>
    <w:tblStylePr w:type="band1Vert">
      <w:tblPr/>
      <w:tcPr>
        <w:tcBorders>
          <w:start w:val="nil" w:sz="0"/>
          <w:end w:val="nil" w:sz="0"/>
          <w:insideH w:val="nil" w:sz="0"/>
          <w:insideV w:val="nil" w:sz="0"/>
        </w:tcBorders>
        <w:shd w:val="clear" w:color="auto" w:fill="E6EED5" w:themeFill="accent3" w:themeFillTint="3F"/>
      </w:tcPr>
    </w:tblStylePr>
    <w:tblStylePr w:type="firstCol">
      <w:rPr>
        <w:b w:val="1"/>
        <w:bCs w:val="1"/>
      </w:rPr>
    </w:tblStylePr>
    <w:tblStylePr w:type="firstRow">
      <w:pPr>
        <w:spacing w:before="0" w:after="0" w:line="240" w:lineRule="auto"/>
      </w:pPr>
      <w:rPr>
        <w:b w:val="1"/>
        <w:bCs w:val="1"/>
      </w:rPr>
      <w:tblPr/>
      <w:tcPr>
        <w:tcBorders>
          <w:top w:val="single" w:color="9BBB59" w:themeColor="accent3" w:sz="8" w:space="0"/>
          <w:start w:val="nil" w:sz="0"/>
          <w:bottom w:val="single" w:color="9BBB59" w:themeColor="accent3" w:sz="8" w:space="0"/>
          <w:end w:val="nil" w:sz="0"/>
          <w:insideH w:val="nil" w:sz="0"/>
          <w:insideV w:val="nil" w:sz="0"/>
        </w:tcBorders>
      </w:tcPr>
    </w:tblStylePr>
    <w:tblStylePr w:type="lastCol">
      <w:rPr>
        <w:b w:val="1"/>
        <w:bCs w:val="1"/>
      </w:rPr>
    </w:tblStylePr>
    <w:tblStylePr w:type="lastRow">
      <w:pPr>
        <w:spacing w:before="0" w:after="0" w:line="240" w:lineRule="auto"/>
      </w:pPr>
      <w:rPr>
        <w:b w:val="1"/>
        <w:bCs w:val="1"/>
      </w:rPr>
      <w:tblPr/>
      <w:tcPr>
        <w:tcBorders>
          <w:top w:val="single" w:color="9BBB59" w:themeColor="accent3" w:sz="8" w:space="0"/>
          <w:start w:val="nil" w:sz="0"/>
          <w:bottom w:val="single" w:color="9BBB59" w:themeColor="accent3" w:sz="8" w:space="0"/>
          <w:end w:val="nil" w:sz="0"/>
          <w:insideH w:val="nil" w:sz="0"/>
          <w:insideV w:val="nil" w:sz="0"/>
        </w:tcBorders>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start w:w="108" w:type="dxa"/>
        <w:bottom w:w="0" w:type="dxa"/>
        <w:end w:w="108" w:type="dxa"/>
      </w:tblCellMar>
    </w:tblPr>
    <w:tblStylePr w:type="band1Horz">
      <w:tblPr/>
      <w:tcPr>
        <w:tcBorders>
          <w:start w:val="nil" w:sz="0"/>
          <w:end w:val="nil" w:sz="0"/>
          <w:insideH w:val="nil" w:sz="0"/>
          <w:insideV w:val="nil" w:sz="0"/>
        </w:tcBorders>
        <w:shd w:val="clear" w:color="auto" w:fill="DFD8E8" w:themeFill="accent4" w:themeFillTint="3F"/>
      </w:tcPr>
    </w:tblStylePr>
    <w:tblStylePr w:type="band1Vert">
      <w:tblPr/>
      <w:tcPr>
        <w:tcBorders>
          <w:start w:val="nil" w:sz="0"/>
          <w:end w:val="nil" w:sz="0"/>
          <w:insideH w:val="nil" w:sz="0"/>
          <w:insideV w:val="nil" w:sz="0"/>
        </w:tcBorders>
        <w:shd w:val="clear" w:color="auto" w:fill="DFD8E8" w:themeFill="accent4" w:themeFillTint="3F"/>
      </w:tcPr>
    </w:tblStylePr>
    <w:tblStylePr w:type="firstCol">
      <w:rPr>
        <w:b w:val="1"/>
        <w:bCs w:val="1"/>
      </w:rPr>
    </w:tblStylePr>
    <w:tblStylePr w:type="firstRow">
      <w:pPr>
        <w:spacing w:before="0" w:after="0" w:line="240" w:lineRule="auto"/>
      </w:pPr>
      <w:rPr>
        <w:b w:val="1"/>
        <w:bCs w:val="1"/>
      </w:rPr>
      <w:tblPr/>
      <w:tcPr>
        <w:tcBorders>
          <w:top w:val="single" w:color="8064A2" w:themeColor="accent4" w:sz="8" w:space="0"/>
          <w:start w:val="nil" w:sz="0"/>
          <w:bottom w:val="single" w:color="8064A2" w:themeColor="accent4" w:sz="8" w:space="0"/>
          <w:end w:val="nil" w:sz="0"/>
          <w:insideH w:val="nil" w:sz="0"/>
          <w:insideV w:val="nil" w:sz="0"/>
        </w:tcBorders>
      </w:tcPr>
    </w:tblStylePr>
    <w:tblStylePr w:type="lastCol">
      <w:rPr>
        <w:b w:val="1"/>
        <w:bCs w:val="1"/>
      </w:rPr>
    </w:tblStylePr>
    <w:tblStylePr w:type="lastRow">
      <w:pPr>
        <w:spacing w:before="0" w:after="0" w:line="240" w:lineRule="auto"/>
      </w:pPr>
      <w:rPr>
        <w:b w:val="1"/>
        <w:bCs w:val="1"/>
      </w:rPr>
      <w:tblPr/>
      <w:tcPr>
        <w:tcBorders>
          <w:top w:val="single" w:color="8064A2" w:themeColor="accent4" w:sz="8" w:space="0"/>
          <w:start w:val="nil" w:sz="0"/>
          <w:bottom w:val="single" w:color="8064A2" w:themeColor="accent4" w:sz="8" w:space="0"/>
          <w:end w:val="nil" w:sz="0"/>
          <w:insideH w:val="nil" w:sz="0"/>
          <w:insideV w:val="nil" w:sz="0"/>
        </w:tcBorders>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start w:w="108" w:type="dxa"/>
        <w:bottom w:w="0" w:type="dxa"/>
        <w:end w:w="108" w:type="dxa"/>
      </w:tblCellMar>
    </w:tblPr>
    <w:tblStylePr w:type="band1Horz">
      <w:tblPr/>
      <w:tcPr>
        <w:tcBorders>
          <w:start w:val="nil" w:sz="0"/>
          <w:end w:val="nil" w:sz="0"/>
          <w:insideH w:val="nil" w:sz="0"/>
          <w:insideV w:val="nil" w:sz="0"/>
        </w:tcBorders>
        <w:shd w:val="clear" w:color="auto" w:fill="D2EAF1" w:themeFill="accent5" w:themeFillTint="3F"/>
      </w:tcPr>
    </w:tblStylePr>
    <w:tblStylePr w:type="band1Vert">
      <w:tblPr/>
      <w:tcPr>
        <w:tcBorders>
          <w:start w:val="nil" w:sz="0"/>
          <w:end w:val="nil" w:sz="0"/>
          <w:insideH w:val="nil" w:sz="0"/>
          <w:insideV w:val="nil" w:sz="0"/>
        </w:tcBorders>
        <w:shd w:val="clear" w:color="auto" w:fill="D2EAF1" w:themeFill="accent5" w:themeFillTint="3F"/>
      </w:tcPr>
    </w:tblStylePr>
    <w:tblStylePr w:type="firstCol">
      <w:rPr>
        <w:b w:val="1"/>
        <w:bCs w:val="1"/>
      </w:rPr>
    </w:tblStylePr>
    <w:tblStylePr w:type="firstRow">
      <w:pPr>
        <w:spacing w:before="0" w:after="0" w:line="240" w:lineRule="auto"/>
      </w:pPr>
      <w:rPr>
        <w:b w:val="1"/>
        <w:bCs w:val="1"/>
      </w:rPr>
      <w:tblPr/>
      <w:tcPr>
        <w:tcBorders>
          <w:top w:val="single" w:color="4BACC6" w:themeColor="accent5" w:sz="8" w:space="0"/>
          <w:start w:val="nil" w:sz="0"/>
          <w:bottom w:val="single" w:color="4BACC6" w:themeColor="accent5" w:sz="8" w:space="0"/>
          <w:end w:val="nil" w:sz="0"/>
          <w:insideH w:val="nil" w:sz="0"/>
          <w:insideV w:val="nil" w:sz="0"/>
        </w:tcBorders>
      </w:tcPr>
    </w:tblStylePr>
    <w:tblStylePr w:type="lastCol">
      <w:rPr>
        <w:b w:val="1"/>
        <w:bCs w:val="1"/>
      </w:rPr>
    </w:tblStylePr>
    <w:tblStylePr w:type="lastRow">
      <w:pPr>
        <w:spacing w:before="0" w:after="0" w:line="240" w:lineRule="auto"/>
      </w:pPr>
      <w:rPr>
        <w:b w:val="1"/>
        <w:bCs w:val="1"/>
      </w:rPr>
      <w:tblPr/>
      <w:tcPr>
        <w:tcBorders>
          <w:top w:val="single" w:color="4BACC6" w:themeColor="accent5" w:sz="8" w:space="0"/>
          <w:start w:val="nil" w:sz="0"/>
          <w:bottom w:val="single" w:color="4BACC6" w:themeColor="accent5" w:sz="8" w:space="0"/>
          <w:end w:val="nil" w:sz="0"/>
          <w:insideH w:val="nil" w:sz="0"/>
          <w:insideV w:val="nil" w:sz="0"/>
        </w:tcBorders>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start w:w="108" w:type="dxa"/>
        <w:bottom w:w="0" w:type="dxa"/>
        <w:end w:w="108" w:type="dxa"/>
      </w:tblCellMar>
    </w:tblPr>
    <w:tblStylePr w:type="band1Horz">
      <w:tblPr/>
      <w:tcPr>
        <w:tcBorders>
          <w:start w:val="nil" w:sz="0"/>
          <w:end w:val="nil" w:sz="0"/>
          <w:insideH w:val="nil" w:sz="0"/>
          <w:insideV w:val="nil" w:sz="0"/>
        </w:tcBorders>
        <w:shd w:val="clear" w:color="auto" w:fill="FDE4D0" w:themeFill="accent6" w:themeFillTint="3F"/>
      </w:tcPr>
    </w:tblStylePr>
    <w:tblStylePr w:type="band1Vert">
      <w:tblPr/>
      <w:tcPr>
        <w:tcBorders>
          <w:start w:val="nil" w:sz="0"/>
          <w:end w:val="nil" w:sz="0"/>
          <w:insideH w:val="nil" w:sz="0"/>
          <w:insideV w:val="nil" w:sz="0"/>
        </w:tcBorders>
        <w:shd w:val="clear" w:color="auto" w:fill="FDE4D0" w:themeFill="accent6" w:themeFillTint="3F"/>
      </w:tcPr>
    </w:tblStylePr>
    <w:tblStylePr w:type="firstCol">
      <w:rPr>
        <w:b w:val="1"/>
        <w:bCs w:val="1"/>
      </w:rPr>
    </w:tblStylePr>
    <w:tblStylePr w:type="firstRow">
      <w:pPr>
        <w:spacing w:before="0" w:after="0" w:line="240" w:lineRule="auto"/>
      </w:pPr>
      <w:rPr>
        <w:b w:val="1"/>
        <w:bCs w:val="1"/>
      </w:rPr>
      <w:tblPr/>
      <w:tcPr>
        <w:tcBorders>
          <w:top w:val="single" w:color="F79646" w:themeColor="accent6" w:sz="8" w:space="0"/>
          <w:start w:val="nil" w:sz="0"/>
          <w:bottom w:val="single" w:color="F79646" w:themeColor="accent6" w:sz="8" w:space="0"/>
          <w:end w:val="nil" w:sz="0"/>
          <w:insideH w:val="nil" w:sz="0"/>
          <w:insideV w:val="nil" w:sz="0"/>
        </w:tcBorders>
      </w:tcPr>
    </w:tblStylePr>
    <w:tblStylePr w:type="lastCol">
      <w:rPr>
        <w:b w:val="1"/>
        <w:bCs w:val="1"/>
      </w:rPr>
    </w:tblStylePr>
    <w:tblStylePr w:type="lastRow">
      <w:pPr>
        <w:spacing w:before="0" w:after="0" w:line="240" w:lineRule="auto"/>
      </w:pPr>
      <w:rPr>
        <w:b w:val="1"/>
        <w:bCs w:val="1"/>
      </w:rPr>
      <w:tblPr/>
      <w:tcPr>
        <w:tcBorders>
          <w:top w:val="single" w:color="F79646" w:themeColor="accent6" w:sz="8" w:space="0"/>
          <w:start w:val="nil" w:sz="0"/>
          <w:bottom w:val="single" w:color="F79646" w:themeColor="accent6" w:sz="8" w:space="0"/>
          <w:end w:val="nil" w:sz="0"/>
          <w:insideH w:val="nil" w:sz="0"/>
          <w:insideV w:val="nil" w:sz="0"/>
        </w:tcBorders>
      </w:tcPr>
    </w:tblStylePr>
  </w:style>
  <w:style w:type="paragraph" w:styleId="List">
    <w:name w:val="List"/>
    <w:basedOn w:val="Normal"/>
    <w:uiPriority w:val="99"/>
    <w:unhideWhenUsed w:val="1"/>
    <w:rsid w:val="00AA1D8D"/>
    <w:pPr>
      <w:ind w:start="360" w:hanging="360"/>
      <w:contextualSpacing w:val="1"/>
    </w:pPr>
  </w:style>
  <w:style w:type="paragraph" w:styleId="List2">
    <w:name w:val="List 2"/>
    <w:basedOn w:val="Normal"/>
    <w:uiPriority w:val="99"/>
    <w:unhideWhenUsed w:val="1"/>
    <w:rsid w:val="00326F90"/>
    <w:pPr>
      <w:ind w:start="720" w:hanging="360"/>
      <w:contextualSpacing w:val="1"/>
    </w:pPr>
  </w:style>
  <w:style w:type="paragraph" w:styleId="List3">
    <w:name w:val="List 3"/>
    <w:basedOn w:val="Normal"/>
    <w:uiPriority w:val="99"/>
    <w:unhideWhenUsed w:val="1"/>
    <w:rsid w:val="00326F90"/>
    <w:pPr>
      <w:ind w:star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Continue">
    <w:name w:val="List Continue"/>
    <w:basedOn w:val="Normal"/>
    <w:uiPriority w:val="99"/>
    <w:unhideWhenUsed w:val="1"/>
    <w:rsid w:val="0029639D"/>
    <w:pPr>
      <w:spacing w:after="120"/>
      <w:ind w:start="360"/>
      <w:contextualSpacing w:val="1"/>
    </w:pPr>
  </w:style>
  <w:style w:type="paragraph" w:styleId="ListContinue2">
    <w:name w:val="List Continue 2"/>
    <w:basedOn w:val="Normal"/>
    <w:uiPriority w:val="99"/>
    <w:unhideWhenUsed w:val="1"/>
    <w:rsid w:val="0029639D"/>
    <w:pPr>
      <w:spacing w:after="120"/>
      <w:ind w:start="720"/>
      <w:contextualSpacing w:val="1"/>
    </w:pPr>
  </w:style>
  <w:style w:type="paragraph" w:styleId="ListContinue3">
    <w:name w:val="List Continue 3"/>
    <w:basedOn w:val="Normal"/>
    <w:uiPriority w:val="99"/>
    <w:unhideWhenUsed w:val="1"/>
    <w:rsid w:val="0029639D"/>
    <w:pPr>
      <w:spacing w:after="120"/>
      <w:ind w:start="1080"/>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Paragraph">
    <w:name w:val="List Paragraph"/>
    <w:basedOn w:val="Normal"/>
    <w:uiPriority w:val="34"/>
    <w:qFormat w:val="1"/>
    <w:rsid w:val="00FC693F"/>
    <w:pPr>
      <w:ind w:start="72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start w:w="108" w:type="dxa"/>
        <w:bottom w:w="0" w:type="dxa"/>
        <w:end w:w="108" w:type="dxa"/>
      </w:tblCellMar>
    </w:tblPr>
    <w:tcPr>
      <w:shd w:val="clear" w:color="auto" w:fill="C0C0C0" w:themeFill="text1" w:themeFillTint="3F"/>
    </w:tcPr>
    <w:tblStylePr w:type="band1Horz">
      <w:tblPr/>
      <w:tcPr>
        <w:shd w:val="clear" w:color="auto" w:fill="808080" w:themeFill="text1" w:themeFillTint="7F"/>
      </w:tcPr>
    </w:tblStylePr>
    <w:tblStylePr w:type="band1Vert">
      <w:tblPr/>
      <w:tcPr>
        <w:shd w:val="clear" w:color="auto" w:fill="808080" w:themeFill="text1" w:themeFillTint="7F"/>
      </w:tcPr>
    </w:tblStylePr>
    <w:tblStylePr w:type="firstCol">
      <w:rPr>
        <w:b w:val="1"/>
        <w:bCs w:val="1"/>
      </w:rPr>
    </w:tblStylePr>
    <w:tblStylePr w:type="firstRow">
      <w:rPr>
        <w:b w:val="1"/>
        <w:bCs w:val="1"/>
      </w:rPr>
    </w:tblStylePr>
    <w:tblStylePr w:type="lastCol">
      <w:rPr>
        <w:b w:val="1"/>
        <w:bCs w:val="1"/>
      </w:rPr>
    </w:tblStylePr>
    <w:tblStylePr w:type="lastRow">
      <w:rPr>
        <w:b w:val="1"/>
        <w:bCs w:val="1"/>
      </w:rPr>
      <w:tblPr/>
      <w:tcPr>
        <w:tcBorders>
          <w:top w:val="single" w:color="404040" w:themeColor="text1" w:themeTint="BF" w:sz="18" w:space="0"/>
        </w:tcBorders>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start w:w="108" w:type="dxa"/>
        <w:bottom w:w="0" w:type="dxa"/>
        <w:end w:w="108" w:type="dxa"/>
      </w:tblCellMar>
    </w:tblPr>
    <w:tcPr>
      <w:shd w:val="clear" w:color="auto" w:fill="D3DFEE" w:themeFill="accent1" w:themeFillTint="3F"/>
    </w:tcPr>
    <w:tblStylePr w:type="band1Horz">
      <w:tblPr/>
      <w:tcPr>
        <w:shd w:val="clear" w:color="auto" w:fill="A7BFDE" w:themeFill="accent1" w:themeFillTint="7F"/>
      </w:tcPr>
    </w:tblStylePr>
    <w:tblStylePr w:type="band1Vert">
      <w:tblPr/>
      <w:tcPr>
        <w:shd w:val="clear" w:color="auto" w:fill="A7BFDE" w:themeFill="accent1" w:themeFillTint="7F"/>
      </w:tcPr>
    </w:tblStylePr>
    <w:tblStylePr w:type="firstCol">
      <w:rPr>
        <w:b w:val="1"/>
        <w:bCs w:val="1"/>
      </w:rPr>
    </w:tblStylePr>
    <w:tblStylePr w:type="firstRow">
      <w:rPr>
        <w:b w:val="1"/>
        <w:bCs w:val="1"/>
      </w:rPr>
    </w:tblStylePr>
    <w:tblStylePr w:type="lastCol">
      <w:rPr>
        <w:b w:val="1"/>
        <w:bCs w:val="1"/>
      </w:rPr>
    </w:tblStylePr>
    <w:tblStylePr w:type="lastRow">
      <w:rPr>
        <w:b w:val="1"/>
        <w:bCs w:val="1"/>
      </w:rPr>
      <w:tblPr/>
      <w:tcPr>
        <w:tcBorders>
          <w:top w:val="single" w:color="7BA0CD" w:themeColor="accent1" w:themeTint="BF" w:sz="18" w:space="0"/>
        </w:tcBorders>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start w:w="108" w:type="dxa"/>
        <w:bottom w:w="0" w:type="dxa"/>
        <w:end w:w="108" w:type="dxa"/>
      </w:tblCellMar>
    </w:tblPr>
    <w:tcPr>
      <w:shd w:val="clear" w:color="auto" w:fill="EFD3D2" w:themeFill="accent2" w:themeFillTint="3F"/>
    </w:tc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firstCol">
      <w:rPr>
        <w:b w:val="1"/>
        <w:bCs w:val="1"/>
      </w:rPr>
    </w:tblStylePr>
    <w:tblStylePr w:type="firstRow">
      <w:rPr>
        <w:b w:val="1"/>
        <w:bCs w:val="1"/>
      </w:rPr>
    </w:tblStylePr>
    <w:tblStylePr w:type="lastCol">
      <w:rPr>
        <w:b w:val="1"/>
        <w:bCs w:val="1"/>
      </w:rPr>
    </w:tblStylePr>
    <w:tblStylePr w:type="lastRow">
      <w:rPr>
        <w:b w:val="1"/>
        <w:bCs w:val="1"/>
      </w:rPr>
      <w:tblPr/>
      <w:tcPr>
        <w:tcBorders>
          <w:top w:val="single" w:color="CF7B79" w:themeColor="accent2" w:themeTint="BF" w:sz="18" w:space="0"/>
        </w:tcBorders>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start w:w="108" w:type="dxa"/>
        <w:bottom w:w="0" w:type="dxa"/>
        <w:end w:w="108" w:type="dxa"/>
      </w:tblCellMar>
    </w:tblPr>
    <w:tcPr>
      <w:shd w:val="clear" w:color="auto" w:fill="E6EED5" w:themeFill="accent3" w:themeFillTint="3F"/>
    </w:tcPr>
    <w:tblStylePr w:type="band1Horz">
      <w:tblPr/>
      <w:tcPr>
        <w:shd w:val="clear" w:color="auto" w:fill="CDDDAC" w:themeFill="accent3" w:themeFillTint="7F"/>
      </w:tcPr>
    </w:tblStylePr>
    <w:tblStylePr w:type="band1Vert">
      <w:tblPr/>
      <w:tcPr>
        <w:shd w:val="clear" w:color="auto" w:fill="CDDDAC" w:themeFill="accent3" w:themeFillTint="7F"/>
      </w:tcPr>
    </w:tblStylePr>
    <w:tblStylePr w:type="firstCol">
      <w:rPr>
        <w:b w:val="1"/>
        <w:bCs w:val="1"/>
      </w:rPr>
    </w:tblStylePr>
    <w:tblStylePr w:type="firstRow">
      <w:rPr>
        <w:b w:val="1"/>
        <w:bCs w:val="1"/>
      </w:rPr>
    </w:tblStylePr>
    <w:tblStylePr w:type="lastCol">
      <w:rPr>
        <w:b w:val="1"/>
        <w:bCs w:val="1"/>
      </w:rPr>
    </w:tblStylePr>
    <w:tblStylePr w:type="lastRow">
      <w:rPr>
        <w:b w:val="1"/>
        <w:bCs w:val="1"/>
      </w:rPr>
      <w:tblPr/>
      <w:tcPr>
        <w:tcBorders>
          <w:top w:val="single" w:color="B3CC82" w:themeColor="accent3" w:themeTint="BF" w:sz="18" w:space="0"/>
        </w:tcBorders>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start w:w="108" w:type="dxa"/>
        <w:bottom w:w="0" w:type="dxa"/>
        <w:end w:w="108" w:type="dxa"/>
      </w:tblCellMar>
    </w:tblPr>
    <w:tcPr>
      <w:shd w:val="clear" w:color="auto" w:fill="DFD8E8" w:themeFill="accent4" w:themeFillTint="3F"/>
    </w:tcPr>
    <w:tblStylePr w:type="band1Horz">
      <w:tblPr/>
      <w:tcPr>
        <w:shd w:val="clear" w:color="auto" w:fill="BFB1D0" w:themeFill="accent4" w:themeFillTint="7F"/>
      </w:tcPr>
    </w:tblStylePr>
    <w:tblStylePr w:type="band1Vert">
      <w:tblPr/>
      <w:tcPr>
        <w:shd w:val="clear" w:color="auto" w:fill="BFB1D0" w:themeFill="accent4" w:themeFillTint="7F"/>
      </w:tcPr>
    </w:tblStylePr>
    <w:tblStylePr w:type="firstCol">
      <w:rPr>
        <w:b w:val="1"/>
        <w:bCs w:val="1"/>
      </w:rPr>
    </w:tblStylePr>
    <w:tblStylePr w:type="firstRow">
      <w:rPr>
        <w:b w:val="1"/>
        <w:bCs w:val="1"/>
      </w:rPr>
    </w:tblStylePr>
    <w:tblStylePr w:type="lastCol">
      <w:rPr>
        <w:b w:val="1"/>
        <w:bCs w:val="1"/>
      </w:rPr>
    </w:tblStylePr>
    <w:tblStylePr w:type="lastRow">
      <w:rPr>
        <w:b w:val="1"/>
        <w:bCs w:val="1"/>
      </w:rPr>
      <w:tblPr/>
      <w:tcPr>
        <w:tcBorders>
          <w:top w:val="single" w:color="9F8AB9" w:themeColor="accent4" w:themeTint="BF" w:sz="18" w:space="0"/>
        </w:tcBorders>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start w:w="108" w:type="dxa"/>
        <w:bottom w:w="0" w:type="dxa"/>
        <w:end w:w="108" w:type="dxa"/>
      </w:tblCellMar>
    </w:tblPr>
    <w:tcPr>
      <w:shd w:val="clear" w:color="auto" w:fill="D2EAF1" w:themeFill="accent5" w:themeFillTint="3F"/>
    </w:tcPr>
    <w:tblStylePr w:type="band1Horz">
      <w:tblPr/>
      <w:tcPr>
        <w:shd w:val="clear" w:color="auto" w:fill="A5D5E2" w:themeFill="accent5" w:themeFillTint="7F"/>
      </w:tcPr>
    </w:tblStylePr>
    <w:tblStylePr w:type="band1Vert">
      <w:tblPr/>
      <w:tcPr>
        <w:shd w:val="clear" w:color="auto" w:fill="A5D5E2" w:themeFill="accent5" w:themeFillTint="7F"/>
      </w:tcPr>
    </w:tblStylePr>
    <w:tblStylePr w:type="firstCol">
      <w:rPr>
        <w:b w:val="1"/>
        <w:bCs w:val="1"/>
      </w:rPr>
    </w:tblStylePr>
    <w:tblStylePr w:type="firstRow">
      <w:rPr>
        <w:b w:val="1"/>
        <w:bCs w:val="1"/>
      </w:rPr>
    </w:tblStylePr>
    <w:tblStylePr w:type="lastCol">
      <w:rPr>
        <w:b w:val="1"/>
        <w:bCs w:val="1"/>
      </w:rPr>
    </w:tblStylePr>
    <w:tblStylePr w:type="lastRow">
      <w:rPr>
        <w:b w:val="1"/>
        <w:bCs w:val="1"/>
      </w:rPr>
      <w:tblPr/>
      <w:tcPr>
        <w:tcBorders>
          <w:top w:val="single" w:color="78C0D4" w:themeColor="accent5" w:themeTint="BF" w:sz="18" w:space="0"/>
        </w:tcBorders>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start w:w="108" w:type="dxa"/>
        <w:bottom w:w="0" w:type="dxa"/>
        <w:end w:w="108" w:type="dxa"/>
      </w:tblCellMar>
    </w:tblPr>
    <w:tcPr>
      <w:shd w:val="clear" w:color="auto" w:fill="FDE4D0" w:themeFill="accent6" w:themeFillTint="3F"/>
    </w:tcPr>
    <w:tblStylePr w:type="band1Horz">
      <w:tblPr/>
      <w:tcPr>
        <w:shd w:val="clear" w:color="auto" w:fill="FBCAA2" w:themeFill="accent6" w:themeFillTint="7F"/>
      </w:tcPr>
    </w:tblStylePr>
    <w:tblStylePr w:type="band1Vert">
      <w:tblPr/>
      <w:tcPr>
        <w:shd w:val="clear" w:color="auto" w:fill="FBCAA2" w:themeFill="accent6" w:themeFillTint="7F"/>
      </w:tcPr>
    </w:tblStylePr>
    <w:tblStylePr w:type="firstCol">
      <w:rPr>
        <w:b w:val="1"/>
        <w:bCs w:val="1"/>
      </w:rPr>
    </w:tblStylePr>
    <w:tblStylePr w:type="firstRow">
      <w:rPr>
        <w:b w:val="1"/>
        <w:bCs w:val="1"/>
      </w:rPr>
    </w:tblStylePr>
    <w:tblStylePr w:type="lastCol">
      <w:rPr>
        <w:b w:val="1"/>
        <w:bCs w:val="1"/>
      </w:rPr>
    </w:tblStylePr>
    <w:tblStylePr w:type="lastRow">
      <w:rPr>
        <w:b w:val="1"/>
        <w:bCs w:val="1"/>
      </w:rPr>
      <w:tblPr/>
      <w:tcPr>
        <w:tcBorders>
          <w:top w:val="single" w:color="F9B074" w:themeColor="accent6" w:themeTint="BF" w:sz="18" w:space="0"/>
        </w:tcBorders>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start w:w="108" w:type="dxa"/>
        <w:bottom w:w="0" w:type="dxa"/>
        <w:end w:w="108" w:type="dxa"/>
      </w:tblCellMar>
    </w:tblPr>
    <w:tcPr>
      <w:shd w:val="clear" w:color="auto" w:fill="C0C0C0" w:themeFill="text1" w:themeFillTint="3F"/>
    </w:tc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band1Vert">
      <w:tblPr/>
      <w:tcPr>
        <w:shd w:val="clear" w:color="auto" w:fill="808080" w:themeFill="text1" w:themeFillTint="7F"/>
      </w:tcPr>
    </w:tblStylePr>
    <w:tblStylePr w:type="firstCol">
      <w:rPr>
        <w:color w:val="000000" w:themeColor="text1"/>
        <w:b w:val="1"/>
        <w:bCs w:val="1"/>
      </w:rPr>
      <w:tblPr/>
      <w:tcPr>
        <w:tcBorders>
          <w:top w:val="nil" w:sz="0"/>
          <w:start w:val="nil" w:sz="0"/>
          <w:bottom w:val="nil" w:sz="0"/>
          <w:end w:val="nil" w:sz="0"/>
          <w:insideH w:val="nil" w:sz="0"/>
          <w:insideV w:val="nil" w:sz="0"/>
        </w:tcBorders>
        <w:shd w:val="clear" w:color="auto" w:fill="FFFFFF" w:themeFill="background1"/>
      </w:tcPr>
    </w:tblStylePr>
    <w:tblStylePr w:type="firstRow">
      <w:rPr>
        <w:color w:val="000000" w:themeColor="text1"/>
        <w:b w:val="1"/>
        <w:bCs w:val="1"/>
      </w:rPr>
      <w:tblPr/>
      <w:tcPr>
        <w:shd w:val="clear" w:color="auto" w:fill="E6E6E6" w:themeFill="text1" w:themeFillTint="19"/>
      </w:tcPr>
    </w:tblStylePr>
    <w:tblStylePr w:type="lastCol">
      <w:rPr>
        <w:color w:val="000000" w:themeColor="text1"/>
        <w:b w:val="0"/>
        <w:bCs w:val="0"/>
      </w:rPr>
      <w:tblPr/>
      <w:tcPr>
        <w:tcBorders>
          <w:top w:val="nil" w:sz="0"/>
          <w:start w:val="nil" w:sz="0"/>
          <w:bottom w:val="nil" w:sz="0"/>
          <w:end w:val="nil" w:sz="0"/>
          <w:insideH w:val="nil" w:sz="0"/>
          <w:insideV w:val="nil" w:sz="0"/>
        </w:tcBorders>
        <w:shd w:val="clear" w:color="auto" w:fill="CCCCCC" w:themeFill="text1" w:themeFillTint="33"/>
      </w:tcPr>
    </w:tblStylePr>
    <w:tblStylePr w:type="lastRow">
      <w:rPr>
        <w:color w:val="000000" w:themeColor="text1"/>
        <w:b w:val="1"/>
        <w:bCs w:val="1"/>
      </w:rPr>
      <w:tblPr/>
      <w:tcPr>
        <w:tcBorders>
          <w:top w:val="single" w:color="000000" w:themeColor="text1" w:sz="12" w:space="0"/>
          <w:start w:val="nil" w:sz="0"/>
          <w:bottom w:val="nil" w:sz="0"/>
          <w:end w:val="nil" w:sz="0"/>
          <w:insideH w:val="nil" w:sz="0"/>
          <w:insideV w:val="nil" w:sz="0"/>
        </w:tcBorders>
        <w:shd w:val="clear" w:color="auto" w:fill="FFFFFF" w:themeFill="background1"/>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start w:w="108" w:type="dxa"/>
        <w:bottom w:w="0" w:type="dxa"/>
        <w:end w:w="108" w:type="dxa"/>
      </w:tblCellMar>
    </w:tblPr>
    <w:tcPr>
      <w:shd w:val="clear" w:color="auto" w:fill="D3DFEE" w:themeFill="accent1" w:themeFillTint="3F"/>
    </w:tc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band1Vert">
      <w:tblPr/>
      <w:tcPr>
        <w:shd w:val="clear" w:color="auto" w:fill="A7BFDE" w:themeFill="accent1" w:themeFillTint="7F"/>
      </w:tcPr>
    </w:tblStylePr>
    <w:tblStylePr w:type="firstCol">
      <w:rPr>
        <w:color w:val="000000" w:themeColor="text1"/>
        <w:b w:val="1"/>
        <w:bCs w:val="1"/>
      </w:rPr>
      <w:tblPr/>
      <w:tcPr>
        <w:tcBorders>
          <w:top w:val="nil" w:sz="0"/>
          <w:start w:val="nil" w:sz="0"/>
          <w:bottom w:val="nil" w:sz="0"/>
          <w:end w:val="nil" w:sz="0"/>
          <w:insideH w:val="nil" w:sz="0"/>
          <w:insideV w:val="nil" w:sz="0"/>
        </w:tcBorders>
        <w:shd w:val="clear" w:color="auto" w:fill="FFFFFF" w:themeFill="background1"/>
      </w:tcPr>
    </w:tblStylePr>
    <w:tblStylePr w:type="firstRow">
      <w:rPr>
        <w:color w:val="000000" w:themeColor="text1"/>
        <w:b w:val="1"/>
        <w:bCs w:val="1"/>
      </w:rPr>
      <w:tblPr/>
      <w:tcPr>
        <w:shd w:val="clear" w:color="auto" w:fill="EDF2F8" w:themeFill="accent1" w:themeFillTint="19"/>
      </w:tcPr>
    </w:tblStylePr>
    <w:tblStylePr w:type="lastCol">
      <w:rPr>
        <w:color w:val="000000" w:themeColor="text1"/>
        <w:b w:val="0"/>
        <w:bCs w:val="0"/>
      </w:rPr>
      <w:tblPr/>
      <w:tcPr>
        <w:tcBorders>
          <w:top w:val="nil" w:sz="0"/>
          <w:start w:val="nil" w:sz="0"/>
          <w:bottom w:val="nil" w:sz="0"/>
          <w:end w:val="nil" w:sz="0"/>
          <w:insideH w:val="nil" w:sz="0"/>
          <w:insideV w:val="nil" w:sz="0"/>
        </w:tcBorders>
        <w:shd w:val="clear" w:color="auto" w:fill="DBE5F1" w:themeFill="accent1" w:themeFillTint="33"/>
      </w:tcPr>
    </w:tblStylePr>
    <w:tblStylePr w:type="lastRow">
      <w:rPr>
        <w:color w:val="000000" w:themeColor="text1"/>
        <w:b w:val="1"/>
        <w:bCs w:val="1"/>
      </w:rPr>
      <w:tblPr/>
      <w:tcPr>
        <w:tcBorders>
          <w:top w:val="single" w:color="000000" w:themeColor="text1" w:sz="12" w:space="0"/>
          <w:start w:val="nil" w:sz="0"/>
          <w:bottom w:val="nil" w:sz="0"/>
          <w:end w:val="nil" w:sz="0"/>
          <w:insideH w:val="nil" w:sz="0"/>
          <w:insideV w:val="nil" w:sz="0"/>
        </w:tcBorders>
        <w:shd w:val="clear" w:color="auto" w:fill="FFFFFF" w:themeFill="background1"/>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start w:w="108" w:type="dxa"/>
        <w:bottom w:w="0" w:type="dxa"/>
        <w:end w:w="108" w:type="dxa"/>
      </w:tblCellMar>
    </w:tblPr>
    <w:tcPr>
      <w:shd w:val="clear" w:color="auto" w:fill="EFD3D2" w:themeFill="accent2" w:themeFillTint="3F"/>
    </w:tc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band1Vert">
      <w:tblPr/>
      <w:tcPr>
        <w:shd w:val="clear" w:color="auto" w:fill="DFA7A6" w:themeFill="accent2" w:themeFillTint="7F"/>
      </w:tcPr>
    </w:tblStylePr>
    <w:tblStylePr w:type="firstCol">
      <w:rPr>
        <w:color w:val="000000" w:themeColor="text1"/>
        <w:b w:val="1"/>
        <w:bCs w:val="1"/>
      </w:rPr>
      <w:tblPr/>
      <w:tcPr>
        <w:tcBorders>
          <w:top w:val="nil" w:sz="0"/>
          <w:start w:val="nil" w:sz="0"/>
          <w:bottom w:val="nil" w:sz="0"/>
          <w:end w:val="nil" w:sz="0"/>
          <w:insideH w:val="nil" w:sz="0"/>
          <w:insideV w:val="nil" w:sz="0"/>
        </w:tcBorders>
        <w:shd w:val="clear" w:color="auto" w:fill="FFFFFF" w:themeFill="background1"/>
      </w:tcPr>
    </w:tblStylePr>
    <w:tblStylePr w:type="firstRow">
      <w:rPr>
        <w:color w:val="000000" w:themeColor="text1"/>
        <w:b w:val="1"/>
        <w:bCs w:val="1"/>
      </w:rPr>
      <w:tblPr/>
      <w:tcPr>
        <w:shd w:val="clear" w:color="auto" w:fill="F8EDED" w:themeFill="accent2" w:themeFillTint="19"/>
      </w:tcPr>
    </w:tblStylePr>
    <w:tblStylePr w:type="lastCol">
      <w:rPr>
        <w:color w:val="000000" w:themeColor="text1"/>
        <w:b w:val="0"/>
        <w:bCs w:val="0"/>
      </w:rPr>
      <w:tblPr/>
      <w:tcPr>
        <w:tcBorders>
          <w:top w:val="nil" w:sz="0"/>
          <w:start w:val="nil" w:sz="0"/>
          <w:bottom w:val="nil" w:sz="0"/>
          <w:end w:val="nil" w:sz="0"/>
          <w:insideH w:val="nil" w:sz="0"/>
          <w:insideV w:val="nil" w:sz="0"/>
        </w:tcBorders>
        <w:shd w:val="clear" w:color="auto" w:fill="F2DBDB" w:themeFill="accent2" w:themeFillTint="33"/>
      </w:tcPr>
    </w:tblStylePr>
    <w:tblStylePr w:type="lastRow">
      <w:rPr>
        <w:color w:val="000000" w:themeColor="text1"/>
        <w:b w:val="1"/>
        <w:bCs w:val="1"/>
      </w:rPr>
      <w:tblPr/>
      <w:tcPr>
        <w:tcBorders>
          <w:top w:val="single" w:color="000000" w:themeColor="text1" w:sz="12" w:space="0"/>
          <w:start w:val="nil" w:sz="0"/>
          <w:bottom w:val="nil" w:sz="0"/>
          <w:end w:val="nil" w:sz="0"/>
          <w:insideH w:val="nil" w:sz="0"/>
          <w:insideV w:val="nil" w:sz="0"/>
        </w:tcBorders>
        <w:shd w:val="clear" w:color="auto" w:fill="FFFFFF" w:themeFill="background1"/>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start w:w="108" w:type="dxa"/>
        <w:bottom w:w="0" w:type="dxa"/>
        <w:end w:w="108" w:type="dxa"/>
      </w:tblCellMar>
    </w:tblPr>
    <w:tcPr>
      <w:shd w:val="clear" w:color="auto" w:fill="E6EED5" w:themeFill="accent3" w:themeFillTint="3F"/>
    </w:tc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band1Vert">
      <w:tblPr/>
      <w:tcPr>
        <w:shd w:val="clear" w:color="auto" w:fill="CDDDAC" w:themeFill="accent3" w:themeFillTint="7F"/>
      </w:tcPr>
    </w:tblStylePr>
    <w:tblStylePr w:type="firstCol">
      <w:rPr>
        <w:color w:val="000000" w:themeColor="text1"/>
        <w:b w:val="1"/>
        <w:bCs w:val="1"/>
      </w:rPr>
      <w:tblPr/>
      <w:tcPr>
        <w:tcBorders>
          <w:top w:val="nil" w:sz="0"/>
          <w:start w:val="nil" w:sz="0"/>
          <w:bottom w:val="nil" w:sz="0"/>
          <w:end w:val="nil" w:sz="0"/>
          <w:insideH w:val="nil" w:sz="0"/>
          <w:insideV w:val="nil" w:sz="0"/>
        </w:tcBorders>
        <w:shd w:val="clear" w:color="auto" w:fill="FFFFFF" w:themeFill="background1"/>
      </w:tcPr>
    </w:tblStylePr>
    <w:tblStylePr w:type="firstRow">
      <w:rPr>
        <w:color w:val="000000" w:themeColor="text1"/>
        <w:b w:val="1"/>
        <w:bCs w:val="1"/>
      </w:rPr>
      <w:tblPr/>
      <w:tcPr>
        <w:shd w:val="clear" w:color="auto" w:fill="F5F8EE" w:themeFill="accent3" w:themeFillTint="19"/>
      </w:tcPr>
    </w:tblStylePr>
    <w:tblStylePr w:type="lastCol">
      <w:rPr>
        <w:color w:val="000000" w:themeColor="text1"/>
        <w:b w:val="0"/>
        <w:bCs w:val="0"/>
      </w:rPr>
      <w:tblPr/>
      <w:tcPr>
        <w:tcBorders>
          <w:top w:val="nil" w:sz="0"/>
          <w:start w:val="nil" w:sz="0"/>
          <w:bottom w:val="nil" w:sz="0"/>
          <w:end w:val="nil" w:sz="0"/>
          <w:insideH w:val="nil" w:sz="0"/>
          <w:insideV w:val="nil" w:sz="0"/>
        </w:tcBorders>
        <w:shd w:val="clear" w:color="auto" w:fill="EAF1DD" w:themeFill="accent3" w:themeFillTint="33"/>
      </w:tcPr>
    </w:tblStylePr>
    <w:tblStylePr w:type="lastRow">
      <w:rPr>
        <w:color w:val="000000" w:themeColor="text1"/>
        <w:b w:val="1"/>
        <w:bCs w:val="1"/>
      </w:rPr>
      <w:tblPr/>
      <w:tcPr>
        <w:tcBorders>
          <w:top w:val="single" w:color="000000" w:themeColor="text1" w:sz="12" w:space="0"/>
          <w:start w:val="nil" w:sz="0"/>
          <w:bottom w:val="nil" w:sz="0"/>
          <w:end w:val="nil" w:sz="0"/>
          <w:insideH w:val="nil" w:sz="0"/>
          <w:insideV w:val="nil" w:sz="0"/>
        </w:tcBorders>
        <w:shd w:val="clear" w:color="auto" w:fill="FFFFFF" w:themeFill="background1"/>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start w:w="108" w:type="dxa"/>
        <w:bottom w:w="0" w:type="dxa"/>
        <w:end w:w="108" w:type="dxa"/>
      </w:tblCellMar>
    </w:tblPr>
    <w:tcPr>
      <w:shd w:val="clear" w:color="auto" w:fill="DFD8E8" w:themeFill="accent4" w:themeFillTint="3F"/>
    </w:tc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band1Vert">
      <w:tblPr/>
      <w:tcPr>
        <w:shd w:val="clear" w:color="auto" w:fill="BFB1D0" w:themeFill="accent4" w:themeFillTint="7F"/>
      </w:tcPr>
    </w:tblStylePr>
    <w:tblStylePr w:type="firstCol">
      <w:rPr>
        <w:color w:val="000000" w:themeColor="text1"/>
        <w:b w:val="1"/>
        <w:bCs w:val="1"/>
      </w:rPr>
      <w:tblPr/>
      <w:tcPr>
        <w:tcBorders>
          <w:top w:val="nil" w:sz="0"/>
          <w:start w:val="nil" w:sz="0"/>
          <w:bottom w:val="nil" w:sz="0"/>
          <w:end w:val="nil" w:sz="0"/>
          <w:insideH w:val="nil" w:sz="0"/>
          <w:insideV w:val="nil" w:sz="0"/>
        </w:tcBorders>
        <w:shd w:val="clear" w:color="auto" w:fill="FFFFFF" w:themeFill="background1"/>
      </w:tcPr>
    </w:tblStylePr>
    <w:tblStylePr w:type="firstRow">
      <w:rPr>
        <w:color w:val="000000" w:themeColor="text1"/>
        <w:b w:val="1"/>
        <w:bCs w:val="1"/>
      </w:rPr>
      <w:tblPr/>
      <w:tcPr>
        <w:shd w:val="clear" w:color="auto" w:fill="F2EFF6" w:themeFill="accent4" w:themeFillTint="19"/>
      </w:tcPr>
    </w:tblStylePr>
    <w:tblStylePr w:type="lastCol">
      <w:rPr>
        <w:color w:val="000000" w:themeColor="text1"/>
        <w:b w:val="0"/>
        <w:bCs w:val="0"/>
      </w:rPr>
      <w:tblPr/>
      <w:tcPr>
        <w:tcBorders>
          <w:top w:val="nil" w:sz="0"/>
          <w:start w:val="nil" w:sz="0"/>
          <w:bottom w:val="nil" w:sz="0"/>
          <w:end w:val="nil" w:sz="0"/>
          <w:insideH w:val="nil" w:sz="0"/>
          <w:insideV w:val="nil" w:sz="0"/>
        </w:tcBorders>
        <w:shd w:val="clear" w:color="auto" w:fill="E5DFEC" w:themeFill="accent4" w:themeFillTint="33"/>
      </w:tcPr>
    </w:tblStylePr>
    <w:tblStylePr w:type="lastRow">
      <w:rPr>
        <w:color w:val="000000" w:themeColor="text1"/>
        <w:b w:val="1"/>
        <w:bCs w:val="1"/>
      </w:rPr>
      <w:tblPr/>
      <w:tcPr>
        <w:tcBorders>
          <w:top w:val="single" w:color="000000" w:themeColor="text1" w:sz="12" w:space="0"/>
          <w:start w:val="nil" w:sz="0"/>
          <w:bottom w:val="nil" w:sz="0"/>
          <w:end w:val="nil" w:sz="0"/>
          <w:insideH w:val="nil" w:sz="0"/>
          <w:insideV w:val="nil" w:sz="0"/>
        </w:tcBorders>
        <w:shd w:val="clear" w:color="auto" w:fill="FFFFFF" w:themeFill="background1"/>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start w:w="108" w:type="dxa"/>
        <w:bottom w:w="0" w:type="dxa"/>
        <w:end w:w="108" w:type="dxa"/>
      </w:tblCellMar>
    </w:tblPr>
    <w:tcPr>
      <w:shd w:val="clear" w:color="auto" w:fill="D2EAF1" w:themeFill="accent5" w:themeFillTint="3F"/>
    </w:tc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band1Vert">
      <w:tblPr/>
      <w:tcPr>
        <w:shd w:val="clear" w:color="auto" w:fill="A5D5E2" w:themeFill="accent5" w:themeFillTint="7F"/>
      </w:tcPr>
    </w:tblStylePr>
    <w:tblStylePr w:type="firstCol">
      <w:rPr>
        <w:color w:val="000000" w:themeColor="text1"/>
        <w:b w:val="1"/>
        <w:bCs w:val="1"/>
      </w:rPr>
      <w:tblPr/>
      <w:tcPr>
        <w:tcBorders>
          <w:top w:val="nil" w:sz="0"/>
          <w:start w:val="nil" w:sz="0"/>
          <w:bottom w:val="nil" w:sz="0"/>
          <w:end w:val="nil" w:sz="0"/>
          <w:insideH w:val="nil" w:sz="0"/>
          <w:insideV w:val="nil" w:sz="0"/>
        </w:tcBorders>
        <w:shd w:val="clear" w:color="auto" w:fill="FFFFFF" w:themeFill="background1"/>
      </w:tcPr>
    </w:tblStylePr>
    <w:tblStylePr w:type="firstRow">
      <w:rPr>
        <w:color w:val="000000" w:themeColor="text1"/>
        <w:b w:val="1"/>
        <w:bCs w:val="1"/>
      </w:rPr>
      <w:tblPr/>
      <w:tcPr>
        <w:shd w:val="clear" w:color="auto" w:fill="EDF6F9" w:themeFill="accent5" w:themeFillTint="19"/>
      </w:tcPr>
    </w:tblStylePr>
    <w:tblStylePr w:type="lastCol">
      <w:rPr>
        <w:color w:val="000000" w:themeColor="text1"/>
        <w:b w:val="0"/>
        <w:bCs w:val="0"/>
      </w:rPr>
      <w:tblPr/>
      <w:tcPr>
        <w:tcBorders>
          <w:top w:val="nil" w:sz="0"/>
          <w:start w:val="nil" w:sz="0"/>
          <w:bottom w:val="nil" w:sz="0"/>
          <w:end w:val="nil" w:sz="0"/>
          <w:insideH w:val="nil" w:sz="0"/>
          <w:insideV w:val="nil" w:sz="0"/>
        </w:tcBorders>
        <w:shd w:val="clear" w:color="auto" w:fill="DAEEF3" w:themeFill="accent5" w:themeFillTint="33"/>
      </w:tcPr>
    </w:tblStylePr>
    <w:tblStylePr w:type="lastRow">
      <w:rPr>
        <w:color w:val="000000" w:themeColor="text1"/>
        <w:b w:val="1"/>
        <w:bCs w:val="1"/>
      </w:rPr>
      <w:tblPr/>
      <w:tcPr>
        <w:tcBorders>
          <w:top w:val="single" w:color="000000" w:themeColor="text1" w:sz="12" w:space="0"/>
          <w:start w:val="nil" w:sz="0"/>
          <w:bottom w:val="nil" w:sz="0"/>
          <w:end w:val="nil" w:sz="0"/>
          <w:insideH w:val="nil" w:sz="0"/>
          <w:insideV w:val="nil" w:sz="0"/>
        </w:tcBorders>
        <w:shd w:val="clear" w:color="auto" w:fill="FFFFFF" w:themeFill="background1"/>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start w:w="108" w:type="dxa"/>
        <w:bottom w:w="0" w:type="dxa"/>
        <w:end w:w="108" w:type="dxa"/>
      </w:tblCellMar>
    </w:tblPr>
    <w:tcPr>
      <w:shd w:val="clear" w:color="auto" w:fill="FDE4D0" w:themeFill="accent6" w:themeFillTint="3F"/>
    </w:tc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band1Vert">
      <w:tblPr/>
      <w:tcPr>
        <w:shd w:val="clear" w:color="auto" w:fill="FBCAA2" w:themeFill="accent6" w:themeFillTint="7F"/>
      </w:tcPr>
    </w:tblStylePr>
    <w:tblStylePr w:type="firstCol">
      <w:rPr>
        <w:color w:val="000000" w:themeColor="text1"/>
        <w:b w:val="1"/>
        <w:bCs w:val="1"/>
      </w:rPr>
      <w:tblPr/>
      <w:tcPr>
        <w:tcBorders>
          <w:top w:val="nil" w:sz="0"/>
          <w:start w:val="nil" w:sz="0"/>
          <w:bottom w:val="nil" w:sz="0"/>
          <w:end w:val="nil" w:sz="0"/>
          <w:insideH w:val="nil" w:sz="0"/>
          <w:insideV w:val="nil" w:sz="0"/>
        </w:tcBorders>
        <w:shd w:val="clear" w:color="auto" w:fill="FFFFFF" w:themeFill="background1"/>
      </w:tcPr>
    </w:tblStylePr>
    <w:tblStylePr w:type="firstRow">
      <w:rPr>
        <w:color w:val="000000" w:themeColor="text1"/>
        <w:b w:val="1"/>
        <w:bCs w:val="1"/>
      </w:rPr>
      <w:tblPr/>
      <w:tcPr>
        <w:shd w:val="clear" w:color="auto" w:fill="FEF4EC" w:themeFill="accent6" w:themeFillTint="19"/>
      </w:tcPr>
    </w:tblStylePr>
    <w:tblStylePr w:type="lastCol">
      <w:rPr>
        <w:color w:val="000000" w:themeColor="text1"/>
        <w:b w:val="0"/>
        <w:bCs w:val="0"/>
      </w:rPr>
      <w:tblPr/>
      <w:tcPr>
        <w:tcBorders>
          <w:top w:val="nil" w:sz="0"/>
          <w:start w:val="nil" w:sz="0"/>
          <w:bottom w:val="nil" w:sz="0"/>
          <w:end w:val="nil" w:sz="0"/>
          <w:insideH w:val="nil" w:sz="0"/>
          <w:insideV w:val="nil" w:sz="0"/>
        </w:tcBorders>
        <w:shd w:val="clear" w:color="auto" w:fill="FDE9D9" w:themeFill="accent6" w:themeFillTint="33"/>
      </w:tcPr>
    </w:tblStylePr>
    <w:tblStylePr w:type="lastRow">
      <w:rPr>
        <w:color w:val="000000" w:themeColor="text1"/>
        <w:b w:val="1"/>
        <w:bCs w:val="1"/>
      </w:rPr>
      <w:tblPr/>
      <w:tcPr>
        <w:tcBorders>
          <w:top w:val="single" w:color="000000" w:themeColor="text1" w:sz="12" w:space="0"/>
          <w:start w:val="nil" w:sz="0"/>
          <w:bottom w:val="nil" w:sz="0"/>
          <w:end w:val="nil" w:sz="0"/>
          <w:insideH w:val="nil" w:sz="0"/>
          <w:insideV w:val="nil" w:sz="0"/>
        </w:tcBorders>
        <w:shd w:val="clear" w:color="auto" w:fill="FFFFFF" w:themeFill="background1"/>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start w:w="108" w:type="dxa"/>
        <w:bottom w:w="0" w:type="dxa"/>
        <w:end w:w="108" w:type="dxa"/>
      </w:tblCellMar>
    </w:tblPr>
    <w:tcPr>
      <w:shd w:val="clear" w:color="auto" w:fill="C0C0C0" w:themeFill="text1" w:themeFillTint="3F"/>
    </w:tcPr>
    <w:tblStylePr w:type="band1Horz">
      <w:tblPr/>
      <w:tcPr>
        <w:tcBorders>
          <w:top w:val="single" w:color="FFFFFF" w:themeColor="background1" w:sz="8" w:space="0"/>
          <w:start w:val="single" w:color="FFFFFF" w:themeColor="background1" w:sz="8" w:space="0"/>
          <w:bottom w:val="single" w:color="FFFFFF" w:themeColor="background1" w:sz="8" w:space="0"/>
          <w:end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band1Vert">
      <w:tblPr/>
      <w:tcPr>
        <w:tcBorders>
          <w:top w:val="single" w:color="FFFFFF" w:themeColor="background1" w:sz="8" w:space="0"/>
          <w:start w:val="single" w:color="FFFFFF" w:themeColor="background1" w:sz="8" w:space="0"/>
          <w:bottom w:val="single" w:color="FFFFFF" w:themeColor="background1" w:sz="8" w:space="0"/>
          <w:end w:val="single" w:color="FFFFFF" w:themeColor="background1" w:sz="8" w:space="0"/>
          <w:insideH w:val="nil" w:sz="0"/>
          <w:insideV w:val="nil" w:sz="0"/>
        </w:tcBorders>
        <w:shd w:val="clear" w:color="auto" w:fill="808080" w:themeFill="text1" w:themeFillTint="7F"/>
      </w:tcPr>
    </w:tblStylePr>
    <w:tblStylePr w:type="firstCol">
      <w:rPr>
        <w:color w:val="FFFFFF" w:themeColor="background1"/>
        <w:b w:val="1"/>
        <w:i w:val="0"/>
        <w:bCs w:val="1"/>
        <w:iCs w:val="0"/>
      </w:rPr>
      <w:tblPr/>
      <w:tcPr>
        <w:tcBorders>
          <w:start w:val="single" w:color="FFFFFF" w:themeColor="background1" w:sz="8" w:space="0"/>
          <w:end w:val="single" w:color="FFFFFF" w:themeColor="background1" w:sz="24" w:space="0"/>
          <w:insideH w:val="nil" w:sz="0"/>
          <w:insideV w:val="nil" w:sz="0"/>
        </w:tcBorders>
        <w:shd w:val="clear" w:color="auto" w:fill="000000" w:themeFill="text1"/>
      </w:tcPr>
    </w:tblStylePr>
    <w:tblStylePr w:type="firstRow">
      <w:rPr>
        <w:color w:val="FFFFFF" w:themeColor="background1"/>
        <w:b w:val="1"/>
        <w:i w:val="0"/>
        <w:bCs w:val="1"/>
        <w:iCs w:val="0"/>
      </w:rPr>
      <w:tblPr/>
      <w:tcPr>
        <w:tcBorders>
          <w:top w:val="single" w:color="FFFFFF" w:themeColor="background1" w:sz="8" w:space="0"/>
          <w:start w:val="single" w:color="FFFFFF" w:themeColor="background1" w:sz="8" w:space="0"/>
          <w:bottom w:val="single" w:color="FFFFFF" w:themeColor="background1" w:sz="24" w:space="0"/>
          <w:end w:val="single" w:color="FFFFFF" w:themeColor="background1" w:sz="8" w:space="0"/>
          <w:insideH w:val="nil" w:sz="0"/>
          <w:insideV w:val="single" w:color="FFFFFF" w:themeColor="background1" w:sz="8" w:space="0"/>
        </w:tcBorders>
        <w:shd w:val="clear" w:color="auto" w:fill="000000" w:themeFill="text1"/>
      </w:tcPr>
    </w:tblStylePr>
    <w:tblStylePr w:type="lastCol">
      <w:rPr>
        <w:color w:val="FFFFFF" w:themeColor="background1"/>
        <w:b w:val="1"/>
        <w:i w:val="0"/>
        <w:bCs w:val="1"/>
        <w:iCs w:val="0"/>
      </w:rPr>
      <w:tblPr/>
      <w:tcPr>
        <w:tcBorders>
          <w:top w:val="nil" w:sz="0"/>
          <w:start w:val="single" w:color="FFFFFF" w:themeColor="background1" w:sz="24" w:space="0"/>
          <w:bottom w:val="nil" w:sz="0"/>
          <w:end w:val="nil" w:sz="0"/>
          <w:insideH w:val="nil" w:sz="0"/>
          <w:insideV w:val="nil" w:sz="0"/>
        </w:tcBorders>
        <w:shd w:val="clear" w:color="auto" w:fill="000000" w:themeFill="text1"/>
      </w:tcPr>
    </w:tblStylePr>
    <w:tblStylePr w:type="lastRow">
      <w:rPr>
        <w:color w:val="FFFFFF" w:themeColor="background1"/>
        <w:b w:val="1"/>
        <w:i w:val="0"/>
        <w:bCs w:val="1"/>
        <w:iCs w:val="0"/>
      </w:rPr>
      <w:tblPr/>
      <w:tcPr>
        <w:tcBorders>
          <w:top w:val="single" w:color="FFFFFF" w:themeColor="background1" w:sz="24" w:space="0"/>
          <w:start w:val="single" w:color="FFFFFF" w:themeColor="background1" w:sz="8" w:space="0"/>
          <w:bottom w:val="single" w:color="FFFFFF" w:themeColor="background1" w:sz="8" w:space="0"/>
          <w:end w:val="single" w:color="FFFFFF" w:themeColor="background1" w:sz="8" w:space="0"/>
          <w:insideH w:val="nil" w:sz="0"/>
          <w:insideV w:val="single" w:color="FFFFFF" w:themeColor="background1" w:sz="8" w:space="0"/>
        </w:tcBorders>
        <w:shd w:val="clear" w:color="auto" w:fill="000000" w:themeFill="text1"/>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start w:w="108" w:type="dxa"/>
        <w:bottom w:w="0" w:type="dxa"/>
        <w:end w:w="108" w:type="dxa"/>
      </w:tblCellMar>
    </w:tblPr>
    <w:tcPr>
      <w:shd w:val="clear" w:color="auto" w:fill="D3DFEE" w:themeFill="accent1" w:themeFillTint="3F"/>
    </w:tcPr>
    <w:tblStylePr w:type="band1Horz">
      <w:tblPr/>
      <w:tcPr>
        <w:tcBorders>
          <w:top w:val="single" w:color="FFFFFF" w:themeColor="background1" w:sz="8" w:space="0"/>
          <w:start w:val="single" w:color="FFFFFF" w:themeColor="background1" w:sz="8" w:space="0"/>
          <w:bottom w:val="single" w:color="FFFFFF" w:themeColor="background1" w:sz="8" w:space="0"/>
          <w:end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band1Vert">
      <w:tblPr/>
      <w:tcPr>
        <w:tcBorders>
          <w:top w:val="single" w:color="FFFFFF" w:themeColor="background1" w:sz="8" w:space="0"/>
          <w:start w:val="single" w:color="FFFFFF" w:themeColor="background1" w:sz="8" w:space="0"/>
          <w:bottom w:val="single" w:color="FFFFFF" w:themeColor="background1" w:sz="8" w:space="0"/>
          <w:end w:val="single" w:color="FFFFFF" w:themeColor="background1" w:sz="8" w:space="0"/>
          <w:insideH w:val="nil" w:sz="0"/>
          <w:insideV w:val="nil" w:sz="0"/>
        </w:tcBorders>
        <w:shd w:val="clear" w:color="auto" w:fill="A7BFDE" w:themeFill="accent1" w:themeFillTint="7F"/>
      </w:tcPr>
    </w:tblStylePr>
    <w:tblStylePr w:type="firstCol">
      <w:rPr>
        <w:color w:val="FFFFFF" w:themeColor="background1"/>
        <w:b w:val="1"/>
        <w:i w:val="0"/>
        <w:bCs w:val="1"/>
        <w:iCs w:val="0"/>
      </w:rPr>
      <w:tblPr/>
      <w:tcPr>
        <w:tcBorders>
          <w:start w:val="single" w:color="FFFFFF" w:themeColor="background1" w:sz="8" w:space="0"/>
          <w:end w:val="single" w:color="FFFFFF" w:themeColor="background1" w:sz="24" w:space="0"/>
          <w:insideH w:val="nil" w:sz="0"/>
          <w:insideV w:val="nil" w:sz="0"/>
        </w:tcBorders>
        <w:shd w:val="clear" w:color="auto" w:fill="4F81BD" w:themeFill="accent1"/>
      </w:tcPr>
    </w:tblStylePr>
    <w:tblStylePr w:type="firstRow">
      <w:rPr>
        <w:color w:val="FFFFFF" w:themeColor="background1"/>
        <w:b w:val="1"/>
        <w:i w:val="0"/>
        <w:bCs w:val="1"/>
        <w:iCs w:val="0"/>
      </w:rPr>
      <w:tblPr/>
      <w:tcPr>
        <w:tcBorders>
          <w:top w:val="single" w:color="FFFFFF" w:themeColor="background1" w:sz="8" w:space="0"/>
          <w:start w:val="single" w:color="FFFFFF" w:themeColor="background1" w:sz="8" w:space="0"/>
          <w:bottom w:val="single" w:color="FFFFFF" w:themeColor="background1" w:sz="24" w:space="0"/>
          <w:end w:val="single" w:color="FFFFFF" w:themeColor="background1" w:sz="8" w:space="0"/>
          <w:insideH w:val="nil" w:sz="0"/>
          <w:insideV w:val="single" w:color="FFFFFF" w:themeColor="background1" w:sz="8" w:space="0"/>
        </w:tcBorders>
        <w:shd w:val="clear" w:color="auto" w:fill="4F81BD" w:themeFill="accent1"/>
      </w:tcPr>
    </w:tblStylePr>
    <w:tblStylePr w:type="lastCol">
      <w:rPr>
        <w:color w:val="FFFFFF" w:themeColor="background1"/>
        <w:b w:val="1"/>
        <w:i w:val="0"/>
        <w:bCs w:val="1"/>
        <w:iCs w:val="0"/>
      </w:rPr>
      <w:tblPr/>
      <w:tcPr>
        <w:tcBorders>
          <w:top w:val="nil" w:sz="0"/>
          <w:start w:val="single" w:color="FFFFFF" w:themeColor="background1" w:sz="24" w:space="0"/>
          <w:bottom w:val="nil" w:sz="0"/>
          <w:end w:val="nil" w:sz="0"/>
          <w:insideH w:val="nil" w:sz="0"/>
          <w:insideV w:val="nil" w:sz="0"/>
        </w:tcBorders>
        <w:shd w:val="clear" w:color="auto" w:fill="4F81BD" w:themeFill="accent1"/>
      </w:tcPr>
    </w:tblStylePr>
    <w:tblStylePr w:type="lastRow">
      <w:rPr>
        <w:color w:val="FFFFFF" w:themeColor="background1"/>
        <w:b w:val="1"/>
        <w:i w:val="0"/>
        <w:bCs w:val="1"/>
        <w:iCs w:val="0"/>
      </w:rPr>
      <w:tblPr/>
      <w:tcPr>
        <w:tcBorders>
          <w:top w:val="single" w:color="FFFFFF" w:themeColor="background1" w:sz="24" w:space="0"/>
          <w:start w:val="single" w:color="FFFFFF" w:themeColor="background1" w:sz="8" w:space="0"/>
          <w:bottom w:val="single" w:color="FFFFFF" w:themeColor="background1" w:sz="8" w:space="0"/>
          <w:end w:val="single" w:color="FFFFFF" w:themeColor="background1" w:sz="8" w:space="0"/>
          <w:insideH w:val="nil" w:sz="0"/>
          <w:insideV w:val="single" w:color="FFFFFF" w:themeColor="background1" w:sz="8" w:space="0"/>
        </w:tcBorders>
        <w:shd w:val="clear" w:color="auto" w:fill="4F81BD" w:themeFill="accent1"/>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start w:w="108" w:type="dxa"/>
        <w:bottom w:w="0" w:type="dxa"/>
        <w:end w:w="108" w:type="dxa"/>
      </w:tblCellMar>
    </w:tblPr>
    <w:tcPr>
      <w:shd w:val="clear" w:color="auto" w:fill="EFD3D2" w:themeFill="accent2" w:themeFillTint="3F"/>
    </w:tcPr>
    <w:tblStylePr w:type="band1Horz">
      <w:tblPr/>
      <w:tcPr>
        <w:tcBorders>
          <w:top w:val="single" w:color="FFFFFF" w:themeColor="background1" w:sz="8" w:space="0"/>
          <w:start w:val="single" w:color="FFFFFF" w:themeColor="background1" w:sz="8" w:space="0"/>
          <w:bottom w:val="single" w:color="FFFFFF" w:themeColor="background1" w:sz="8" w:space="0"/>
          <w:end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band1Vert">
      <w:tblPr/>
      <w:tcPr>
        <w:tcBorders>
          <w:top w:val="single" w:color="FFFFFF" w:themeColor="background1" w:sz="8" w:space="0"/>
          <w:start w:val="single" w:color="FFFFFF" w:themeColor="background1" w:sz="8" w:space="0"/>
          <w:bottom w:val="single" w:color="FFFFFF" w:themeColor="background1" w:sz="8" w:space="0"/>
          <w:end w:val="single" w:color="FFFFFF" w:themeColor="background1" w:sz="8" w:space="0"/>
          <w:insideH w:val="nil" w:sz="0"/>
          <w:insideV w:val="nil" w:sz="0"/>
        </w:tcBorders>
        <w:shd w:val="clear" w:color="auto" w:fill="DFA7A6" w:themeFill="accent2" w:themeFillTint="7F"/>
      </w:tcPr>
    </w:tblStylePr>
    <w:tblStylePr w:type="firstCol">
      <w:rPr>
        <w:color w:val="FFFFFF" w:themeColor="background1"/>
        <w:b w:val="1"/>
        <w:i w:val="0"/>
        <w:bCs w:val="1"/>
        <w:iCs w:val="0"/>
      </w:rPr>
      <w:tblPr/>
      <w:tcPr>
        <w:tcBorders>
          <w:start w:val="single" w:color="FFFFFF" w:themeColor="background1" w:sz="8" w:space="0"/>
          <w:end w:val="single" w:color="FFFFFF" w:themeColor="background1" w:sz="24" w:space="0"/>
          <w:insideH w:val="nil" w:sz="0"/>
          <w:insideV w:val="nil" w:sz="0"/>
        </w:tcBorders>
        <w:shd w:val="clear" w:color="auto" w:fill="C0504D" w:themeFill="accent2"/>
      </w:tcPr>
    </w:tblStylePr>
    <w:tblStylePr w:type="firstRow">
      <w:rPr>
        <w:color w:val="FFFFFF" w:themeColor="background1"/>
        <w:b w:val="1"/>
        <w:i w:val="0"/>
        <w:bCs w:val="1"/>
        <w:iCs w:val="0"/>
      </w:rPr>
      <w:tblPr/>
      <w:tcPr>
        <w:tcBorders>
          <w:top w:val="single" w:color="FFFFFF" w:themeColor="background1" w:sz="8" w:space="0"/>
          <w:start w:val="single" w:color="FFFFFF" w:themeColor="background1" w:sz="8" w:space="0"/>
          <w:bottom w:val="single" w:color="FFFFFF" w:themeColor="background1" w:sz="24" w:space="0"/>
          <w:end w:val="single" w:color="FFFFFF" w:themeColor="background1" w:sz="8" w:space="0"/>
          <w:insideH w:val="nil" w:sz="0"/>
          <w:insideV w:val="single" w:color="FFFFFF" w:themeColor="background1" w:sz="8" w:space="0"/>
        </w:tcBorders>
        <w:shd w:val="clear" w:color="auto" w:fill="C0504D" w:themeFill="accent2"/>
      </w:tcPr>
    </w:tblStylePr>
    <w:tblStylePr w:type="lastCol">
      <w:rPr>
        <w:color w:val="FFFFFF" w:themeColor="background1"/>
        <w:b w:val="1"/>
        <w:i w:val="0"/>
        <w:bCs w:val="1"/>
        <w:iCs w:val="0"/>
      </w:rPr>
      <w:tblPr/>
      <w:tcPr>
        <w:tcBorders>
          <w:top w:val="nil" w:sz="0"/>
          <w:start w:val="single" w:color="FFFFFF" w:themeColor="background1" w:sz="24" w:space="0"/>
          <w:bottom w:val="nil" w:sz="0"/>
          <w:end w:val="nil" w:sz="0"/>
          <w:insideH w:val="nil" w:sz="0"/>
          <w:insideV w:val="nil" w:sz="0"/>
        </w:tcBorders>
        <w:shd w:val="clear" w:color="auto" w:fill="C0504D" w:themeFill="accent2"/>
      </w:tcPr>
    </w:tblStylePr>
    <w:tblStylePr w:type="lastRow">
      <w:rPr>
        <w:color w:val="FFFFFF" w:themeColor="background1"/>
        <w:b w:val="1"/>
        <w:i w:val="0"/>
        <w:bCs w:val="1"/>
        <w:iCs w:val="0"/>
      </w:rPr>
      <w:tblPr/>
      <w:tcPr>
        <w:tcBorders>
          <w:top w:val="single" w:color="FFFFFF" w:themeColor="background1" w:sz="24" w:space="0"/>
          <w:start w:val="single" w:color="FFFFFF" w:themeColor="background1" w:sz="8" w:space="0"/>
          <w:bottom w:val="single" w:color="FFFFFF" w:themeColor="background1" w:sz="8" w:space="0"/>
          <w:end w:val="single" w:color="FFFFFF" w:themeColor="background1" w:sz="8" w:space="0"/>
          <w:insideH w:val="nil" w:sz="0"/>
          <w:insideV w:val="single" w:color="FFFFFF" w:themeColor="background1" w:sz="8" w:space="0"/>
        </w:tcBorders>
        <w:shd w:val="clear" w:color="auto" w:fill="C0504D" w:themeFill="accent2"/>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start w:w="108" w:type="dxa"/>
        <w:bottom w:w="0" w:type="dxa"/>
        <w:end w:w="108" w:type="dxa"/>
      </w:tblCellMar>
    </w:tblPr>
    <w:tcPr>
      <w:shd w:val="clear" w:color="auto" w:fill="E6EED5" w:themeFill="accent3" w:themeFillTint="3F"/>
    </w:tcPr>
    <w:tblStylePr w:type="band1Horz">
      <w:tblPr/>
      <w:tcPr>
        <w:tcBorders>
          <w:top w:val="single" w:color="FFFFFF" w:themeColor="background1" w:sz="8" w:space="0"/>
          <w:start w:val="single" w:color="FFFFFF" w:themeColor="background1" w:sz="8" w:space="0"/>
          <w:bottom w:val="single" w:color="FFFFFF" w:themeColor="background1" w:sz="8" w:space="0"/>
          <w:end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band1Vert">
      <w:tblPr/>
      <w:tcPr>
        <w:tcBorders>
          <w:top w:val="single" w:color="FFFFFF" w:themeColor="background1" w:sz="8" w:space="0"/>
          <w:start w:val="single" w:color="FFFFFF" w:themeColor="background1" w:sz="8" w:space="0"/>
          <w:bottom w:val="single" w:color="FFFFFF" w:themeColor="background1" w:sz="8" w:space="0"/>
          <w:end w:val="single" w:color="FFFFFF" w:themeColor="background1" w:sz="8" w:space="0"/>
          <w:insideH w:val="nil" w:sz="0"/>
          <w:insideV w:val="nil" w:sz="0"/>
        </w:tcBorders>
        <w:shd w:val="clear" w:color="auto" w:fill="CDDDAC" w:themeFill="accent3" w:themeFillTint="7F"/>
      </w:tcPr>
    </w:tblStylePr>
    <w:tblStylePr w:type="firstCol">
      <w:rPr>
        <w:color w:val="FFFFFF" w:themeColor="background1"/>
        <w:b w:val="1"/>
        <w:i w:val="0"/>
        <w:bCs w:val="1"/>
        <w:iCs w:val="0"/>
      </w:rPr>
      <w:tblPr/>
      <w:tcPr>
        <w:tcBorders>
          <w:start w:val="single" w:color="FFFFFF" w:themeColor="background1" w:sz="8" w:space="0"/>
          <w:end w:val="single" w:color="FFFFFF" w:themeColor="background1" w:sz="24" w:space="0"/>
          <w:insideH w:val="nil" w:sz="0"/>
          <w:insideV w:val="nil" w:sz="0"/>
        </w:tcBorders>
        <w:shd w:val="clear" w:color="auto" w:fill="9BBB59" w:themeFill="accent3"/>
      </w:tcPr>
    </w:tblStylePr>
    <w:tblStylePr w:type="firstRow">
      <w:rPr>
        <w:color w:val="FFFFFF" w:themeColor="background1"/>
        <w:b w:val="1"/>
        <w:i w:val="0"/>
        <w:bCs w:val="1"/>
        <w:iCs w:val="0"/>
      </w:rPr>
      <w:tblPr/>
      <w:tcPr>
        <w:tcBorders>
          <w:top w:val="single" w:color="FFFFFF" w:themeColor="background1" w:sz="8" w:space="0"/>
          <w:start w:val="single" w:color="FFFFFF" w:themeColor="background1" w:sz="8" w:space="0"/>
          <w:bottom w:val="single" w:color="FFFFFF" w:themeColor="background1" w:sz="24" w:space="0"/>
          <w:end w:val="single" w:color="FFFFFF" w:themeColor="background1" w:sz="8" w:space="0"/>
          <w:insideH w:val="nil" w:sz="0"/>
          <w:insideV w:val="single" w:color="FFFFFF" w:themeColor="background1" w:sz="8" w:space="0"/>
        </w:tcBorders>
        <w:shd w:val="clear" w:color="auto" w:fill="9BBB59" w:themeFill="accent3"/>
      </w:tcPr>
    </w:tblStylePr>
    <w:tblStylePr w:type="lastCol">
      <w:rPr>
        <w:color w:val="FFFFFF" w:themeColor="background1"/>
        <w:b w:val="1"/>
        <w:i w:val="0"/>
        <w:bCs w:val="1"/>
        <w:iCs w:val="0"/>
      </w:rPr>
      <w:tblPr/>
      <w:tcPr>
        <w:tcBorders>
          <w:top w:val="nil" w:sz="0"/>
          <w:start w:val="single" w:color="FFFFFF" w:themeColor="background1" w:sz="24" w:space="0"/>
          <w:bottom w:val="nil" w:sz="0"/>
          <w:end w:val="nil" w:sz="0"/>
          <w:insideH w:val="nil" w:sz="0"/>
          <w:insideV w:val="nil" w:sz="0"/>
        </w:tcBorders>
        <w:shd w:val="clear" w:color="auto" w:fill="9BBB59" w:themeFill="accent3"/>
      </w:tcPr>
    </w:tblStylePr>
    <w:tblStylePr w:type="lastRow">
      <w:rPr>
        <w:color w:val="FFFFFF" w:themeColor="background1"/>
        <w:b w:val="1"/>
        <w:i w:val="0"/>
        <w:bCs w:val="1"/>
        <w:iCs w:val="0"/>
      </w:rPr>
      <w:tblPr/>
      <w:tcPr>
        <w:tcBorders>
          <w:top w:val="single" w:color="FFFFFF" w:themeColor="background1" w:sz="24" w:space="0"/>
          <w:start w:val="single" w:color="FFFFFF" w:themeColor="background1" w:sz="8" w:space="0"/>
          <w:bottom w:val="single" w:color="FFFFFF" w:themeColor="background1" w:sz="8" w:space="0"/>
          <w:end w:val="single" w:color="FFFFFF" w:themeColor="background1" w:sz="8" w:space="0"/>
          <w:insideH w:val="nil" w:sz="0"/>
          <w:insideV w:val="single" w:color="FFFFFF" w:themeColor="background1" w:sz="8" w:space="0"/>
        </w:tcBorders>
        <w:shd w:val="clear" w:color="auto" w:fill="9BBB59" w:themeFill="accent3"/>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start w:w="108" w:type="dxa"/>
        <w:bottom w:w="0" w:type="dxa"/>
        <w:end w:w="108" w:type="dxa"/>
      </w:tblCellMar>
    </w:tblPr>
    <w:tcPr>
      <w:shd w:val="clear" w:color="auto" w:fill="DFD8E8" w:themeFill="accent4" w:themeFillTint="3F"/>
    </w:tcPr>
    <w:tblStylePr w:type="band1Horz">
      <w:tblPr/>
      <w:tcPr>
        <w:tcBorders>
          <w:top w:val="single" w:color="FFFFFF" w:themeColor="background1" w:sz="8" w:space="0"/>
          <w:start w:val="single" w:color="FFFFFF" w:themeColor="background1" w:sz="8" w:space="0"/>
          <w:bottom w:val="single" w:color="FFFFFF" w:themeColor="background1" w:sz="8" w:space="0"/>
          <w:end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band1Vert">
      <w:tblPr/>
      <w:tcPr>
        <w:tcBorders>
          <w:top w:val="single" w:color="FFFFFF" w:themeColor="background1" w:sz="8" w:space="0"/>
          <w:start w:val="single" w:color="FFFFFF" w:themeColor="background1" w:sz="8" w:space="0"/>
          <w:bottom w:val="single" w:color="FFFFFF" w:themeColor="background1" w:sz="8" w:space="0"/>
          <w:end w:val="single" w:color="FFFFFF" w:themeColor="background1" w:sz="8" w:space="0"/>
          <w:insideH w:val="nil" w:sz="0"/>
          <w:insideV w:val="nil" w:sz="0"/>
        </w:tcBorders>
        <w:shd w:val="clear" w:color="auto" w:fill="BFB1D0" w:themeFill="accent4" w:themeFillTint="7F"/>
      </w:tcPr>
    </w:tblStylePr>
    <w:tblStylePr w:type="firstCol">
      <w:rPr>
        <w:color w:val="FFFFFF" w:themeColor="background1"/>
        <w:b w:val="1"/>
        <w:i w:val="0"/>
        <w:bCs w:val="1"/>
        <w:iCs w:val="0"/>
      </w:rPr>
      <w:tblPr/>
      <w:tcPr>
        <w:tcBorders>
          <w:start w:val="single" w:color="FFFFFF" w:themeColor="background1" w:sz="8" w:space="0"/>
          <w:end w:val="single" w:color="FFFFFF" w:themeColor="background1" w:sz="24" w:space="0"/>
          <w:insideH w:val="nil" w:sz="0"/>
          <w:insideV w:val="nil" w:sz="0"/>
        </w:tcBorders>
        <w:shd w:val="clear" w:color="auto" w:fill="8064A2" w:themeFill="accent4"/>
      </w:tcPr>
    </w:tblStylePr>
    <w:tblStylePr w:type="firstRow">
      <w:rPr>
        <w:color w:val="FFFFFF" w:themeColor="background1"/>
        <w:b w:val="1"/>
        <w:i w:val="0"/>
        <w:bCs w:val="1"/>
        <w:iCs w:val="0"/>
      </w:rPr>
      <w:tblPr/>
      <w:tcPr>
        <w:tcBorders>
          <w:top w:val="single" w:color="FFFFFF" w:themeColor="background1" w:sz="8" w:space="0"/>
          <w:start w:val="single" w:color="FFFFFF" w:themeColor="background1" w:sz="8" w:space="0"/>
          <w:bottom w:val="single" w:color="FFFFFF" w:themeColor="background1" w:sz="24" w:space="0"/>
          <w:end w:val="single" w:color="FFFFFF" w:themeColor="background1" w:sz="8" w:space="0"/>
          <w:insideH w:val="nil" w:sz="0"/>
          <w:insideV w:val="single" w:color="FFFFFF" w:themeColor="background1" w:sz="8" w:space="0"/>
        </w:tcBorders>
        <w:shd w:val="clear" w:color="auto" w:fill="8064A2" w:themeFill="accent4"/>
      </w:tcPr>
    </w:tblStylePr>
    <w:tblStylePr w:type="lastCol">
      <w:rPr>
        <w:color w:val="FFFFFF" w:themeColor="background1"/>
        <w:b w:val="1"/>
        <w:i w:val="0"/>
        <w:bCs w:val="1"/>
        <w:iCs w:val="0"/>
      </w:rPr>
      <w:tblPr/>
      <w:tcPr>
        <w:tcBorders>
          <w:top w:val="nil" w:sz="0"/>
          <w:start w:val="single" w:color="FFFFFF" w:themeColor="background1" w:sz="24" w:space="0"/>
          <w:bottom w:val="nil" w:sz="0"/>
          <w:end w:val="nil" w:sz="0"/>
          <w:insideH w:val="nil" w:sz="0"/>
          <w:insideV w:val="nil" w:sz="0"/>
        </w:tcBorders>
        <w:shd w:val="clear" w:color="auto" w:fill="8064A2" w:themeFill="accent4"/>
      </w:tcPr>
    </w:tblStylePr>
    <w:tblStylePr w:type="lastRow">
      <w:rPr>
        <w:color w:val="FFFFFF" w:themeColor="background1"/>
        <w:b w:val="1"/>
        <w:i w:val="0"/>
        <w:bCs w:val="1"/>
        <w:iCs w:val="0"/>
      </w:rPr>
      <w:tblPr/>
      <w:tcPr>
        <w:tcBorders>
          <w:top w:val="single" w:color="FFFFFF" w:themeColor="background1" w:sz="24" w:space="0"/>
          <w:start w:val="single" w:color="FFFFFF" w:themeColor="background1" w:sz="8" w:space="0"/>
          <w:bottom w:val="single" w:color="FFFFFF" w:themeColor="background1" w:sz="8" w:space="0"/>
          <w:end w:val="single" w:color="FFFFFF" w:themeColor="background1" w:sz="8" w:space="0"/>
          <w:insideH w:val="nil" w:sz="0"/>
          <w:insideV w:val="single" w:color="FFFFFF" w:themeColor="background1" w:sz="8" w:space="0"/>
        </w:tcBorders>
        <w:shd w:val="clear" w:color="auto" w:fill="8064A2" w:themeFill="accent4"/>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start w:w="108" w:type="dxa"/>
        <w:bottom w:w="0" w:type="dxa"/>
        <w:end w:w="108" w:type="dxa"/>
      </w:tblCellMar>
    </w:tblPr>
    <w:tcPr>
      <w:shd w:val="clear" w:color="auto" w:fill="D2EAF1" w:themeFill="accent5" w:themeFillTint="3F"/>
    </w:tcPr>
    <w:tblStylePr w:type="band1Horz">
      <w:tblPr/>
      <w:tcPr>
        <w:tcBorders>
          <w:top w:val="single" w:color="FFFFFF" w:themeColor="background1" w:sz="8" w:space="0"/>
          <w:start w:val="single" w:color="FFFFFF" w:themeColor="background1" w:sz="8" w:space="0"/>
          <w:bottom w:val="single" w:color="FFFFFF" w:themeColor="background1" w:sz="8" w:space="0"/>
          <w:end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band1Vert">
      <w:tblPr/>
      <w:tcPr>
        <w:tcBorders>
          <w:top w:val="single" w:color="FFFFFF" w:themeColor="background1" w:sz="8" w:space="0"/>
          <w:start w:val="single" w:color="FFFFFF" w:themeColor="background1" w:sz="8" w:space="0"/>
          <w:bottom w:val="single" w:color="FFFFFF" w:themeColor="background1" w:sz="8" w:space="0"/>
          <w:end w:val="single" w:color="FFFFFF" w:themeColor="background1" w:sz="8" w:space="0"/>
          <w:insideH w:val="nil" w:sz="0"/>
          <w:insideV w:val="nil" w:sz="0"/>
        </w:tcBorders>
        <w:shd w:val="clear" w:color="auto" w:fill="A5D5E2" w:themeFill="accent5" w:themeFillTint="7F"/>
      </w:tcPr>
    </w:tblStylePr>
    <w:tblStylePr w:type="firstCol">
      <w:rPr>
        <w:color w:val="FFFFFF" w:themeColor="background1"/>
        <w:b w:val="1"/>
        <w:i w:val="0"/>
        <w:bCs w:val="1"/>
        <w:iCs w:val="0"/>
      </w:rPr>
      <w:tblPr/>
      <w:tcPr>
        <w:tcBorders>
          <w:start w:val="single" w:color="FFFFFF" w:themeColor="background1" w:sz="8" w:space="0"/>
          <w:end w:val="single" w:color="FFFFFF" w:themeColor="background1" w:sz="24" w:space="0"/>
          <w:insideH w:val="nil" w:sz="0"/>
          <w:insideV w:val="nil" w:sz="0"/>
        </w:tcBorders>
        <w:shd w:val="clear" w:color="auto" w:fill="4BACC6" w:themeFill="accent5"/>
      </w:tcPr>
    </w:tblStylePr>
    <w:tblStylePr w:type="firstRow">
      <w:rPr>
        <w:color w:val="FFFFFF" w:themeColor="background1"/>
        <w:b w:val="1"/>
        <w:i w:val="0"/>
        <w:bCs w:val="1"/>
        <w:iCs w:val="0"/>
      </w:rPr>
      <w:tblPr/>
      <w:tcPr>
        <w:tcBorders>
          <w:top w:val="single" w:color="FFFFFF" w:themeColor="background1" w:sz="8" w:space="0"/>
          <w:start w:val="single" w:color="FFFFFF" w:themeColor="background1" w:sz="8" w:space="0"/>
          <w:bottom w:val="single" w:color="FFFFFF" w:themeColor="background1" w:sz="24" w:space="0"/>
          <w:end w:val="single" w:color="FFFFFF" w:themeColor="background1" w:sz="8" w:space="0"/>
          <w:insideH w:val="nil" w:sz="0"/>
          <w:insideV w:val="single" w:color="FFFFFF" w:themeColor="background1" w:sz="8" w:space="0"/>
        </w:tcBorders>
        <w:shd w:val="clear" w:color="auto" w:fill="4BACC6" w:themeFill="accent5"/>
      </w:tcPr>
    </w:tblStylePr>
    <w:tblStylePr w:type="lastCol">
      <w:rPr>
        <w:color w:val="FFFFFF" w:themeColor="background1"/>
        <w:b w:val="1"/>
        <w:i w:val="0"/>
        <w:bCs w:val="1"/>
        <w:iCs w:val="0"/>
      </w:rPr>
      <w:tblPr/>
      <w:tcPr>
        <w:tcBorders>
          <w:top w:val="nil" w:sz="0"/>
          <w:start w:val="single" w:color="FFFFFF" w:themeColor="background1" w:sz="24" w:space="0"/>
          <w:bottom w:val="nil" w:sz="0"/>
          <w:end w:val="nil" w:sz="0"/>
          <w:insideH w:val="nil" w:sz="0"/>
          <w:insideV w:val="nil" w:sz="0"/>
        </w:tcBorders>
        <w:shd w:val="clear" w:color="auto" w:fill="4BACC6" w:themeFill="accent5"/>
      </w:tcPr>
    </w:tblStylePr>
    <w:tblStylePr w:type="lastRow">
      <w:rPr>
        <w:color w:val="FFFFFF" w:themeColor="background1"/>
        <w:b w:val="1"/>
        <w:i w:val="0"/>
        <w:bCs w:val="1"/>
        <w:iCs w:val="0"/>
      </w:rPr>
      <w:tblPr/>
      <w:tcPr>
        <w:tcBorders>
          <w:top w:val="single" w:color="FFFFFF" w:themeColor="background1" w:sz="24" w:space="0"/>
          <w:start w:val="single" w:color="FFFFFF" w:themeColor="background1" w:sz="8" w:space="0"/>
          <w:bottom w:val="single" w:color="FFFFFF" w:themeColor="background1" w:sz="8" w:space="0"/>
          <w:end w:val="single" w:color="FFFFFF" w:themeColor="background1" w:sz="8" w:space="0"/>
          <w:insideH w:val="nil" w:sz="0"/>
          <w:insideV w:val="single" w:color="FFFFFF" w:themeColor="background1" w:sz="8" w:space="0"/>
        </w:tcBorders>
        <w:shd w:val="clear" w:color="auto" w:fill="4BACC6" w:themeFill="accent5"/>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start w:w="108" w:type="dxa"/>
        <w:bottom w:w="0" w:type="dxa"/>
        <w:end w:w="108" w:type="dxa"/>
      </w:tblCellMar>
    </w:tblPr>
    <w:tcPr>
      <w:shd w:val="clear" w:color="auto" w:fill="FDE4D0" w:themeFill="accent6" w:themeFillTint="3F"/>
    </w:tcPr>
    <w:tblStylePr w:type="band1Horz">
      <w:tblPr/>
      <w:tcPr>
        <w:tcBorders>
          <w:top w:val="single" w:color="FFFFFF" w:themeColor="background1" w:sz="8" w:space="0"/>
          <w:start w:val="single" w:color="FFFFFF" w:themeColor="background1" w:sz="8" w:space="0"/>
          <w:bottom w:val="single" w:color="FFFFFF" w:themeColor="background1" w:sz="8" w:space="0"/>
          <w:end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band1Vert">
      <w:tblPr/>
      <w:tcPr>
        <w:tcBorders>
          <w:top w:val="single" w:color="FFFFFF" w:themeColor="background1" w:sz="8" w:space="0"/>
          <w:start w:val="single" w:color="FFFFFF" w:themeColor="background1" w:sz="8" w:space="0"/>
          <w:bottom w:val="single" w:color="FFFFFF" w:themeColor="background1" w:sz="8" w:space="0"/>
          <w:end w:val="single" w:color="FFFFFF" w:themeColor="background1" w:sz="8" w:space="0"/>
          <w:insideH w:val="nil" w:sz="0"/>
          <w:insideV w:val="nil" w:sz="0"/>
        </w:tcBorders>
        <w:shd w:val="clear" w:color="auto" w:fill="FBCAA2" w:themeFill="accent6" w:themeFillTint="7F"/>
      </w:tcPr>
    </w:tblStylePr>
    <w:tblStylePr w:type="firstCol">
      <w:rPr>
        <w:color w:val="FFFFFF" w:themeColor="background1"/>
        <w:b w:val="1"/>
        <w:i w:val="0"/>
        <w:bCs w:val="1"/>
        <w:iCs w:val="0"/>
      </w:rPr>
      <w:tblPr/>
      <w:tcPr>
        <w:tcBorders>
          <w:start w:val="single" w:color="FFFFFF" w:themeColor="background1" w:sz="8" w:space="0"/>
          <w:end w:val="single" w:color="FFFFFF" w:themeColor="background1" w:sz="24" w:space="0"/>
          <w:insideH w:val="nil" w:sz="0"/>
          <w:insideV w:val="nil" w:sz="0"/>
        </w:tcBorders>
        <w:shd w:val="clear" w:color="auto" w:fill="F79646" w:themeFill="accent6"/>
      </w:tcPr>
    </w:tblStylePr>
    <w:tblStylePr w:type="firstRow">
      <w:rPr>
        <w:color w:val="FFFFFF" w:themeColor="background1"/>
        <w:b w:val="1"/>
        <w:i w:val="0"/>
        <w:bCs w:val="1"/>
        <w:iCs w:val="0"/>
      </w:rPr>
      <w:tblPr/>
      <w:tcPr>
        <w:tcBorders>
          <w:top w:val="single" w:color="FFFFFF" w:themeColor="background1" w:sz="8" w:space="0"/>
          <w:start w:val="single" w:color="FFFFFF" w:themeColor="background1" w:sz="8" w:space="0"/>
          <w:bottom w:val="single" w:color="FFFFFF" w:themeColor="background1" w:sz="24" w:space="0"/>
          <w:end w:val="single" w:color="FFFFFF" w:themeColor="background1" w:sz="8" w:space="0"/>
          <w:insideH w:val="nil" w:sz="0"/>
          <w:insideV w:val="single" w:color="FFFFFF" w:themeColor="background1" w:sz="8" w:space="0"/>
        </w:tcBorders>
        <w:shd w:val="clear" w:color="auto" w:fill="F79646" w:themeFill="accent6"/>
      </w:tcPr>
    </w:tblStylePr>
    <w:tblStylePr w:type="lastCol">
      <w:rPr>
        <w:color w:val="FFFFFF" w:themeColor="background1"/>
        <w:b w:val="1"/>
        <w:i w:val="0"/>
        <w:bCs w:val="1"/>
        <w:iCs w:val="0"/>
      </w:rPr>
      <w:tblPr/>
      <w:tcPr>
        <w:tcBorders>
          <w:top w:val="nil" w:sz="0"/>
          <w:start w:val="single" w:color="FFFFFF" w:themeColor="background1" w:sz="24" w:space="0"/>
          <w:bottom w:val="nil" w:sz="0"/>
          <w:end w:val="nil" w:sz="0"/>
          <w:insideH w:val="nil" w:sz="0"/>
          <w:insideV w:val="nil" w:sz="0"/>
        </w:tcBorders>
        <w:shd w:val="clear" w:color="auto" w:fill="F79646" w:themeFill="accent6"/>
      </w:tcPr>
    </w:tblStylePr>
    <w:tblStylePr w:type="lastRow">
      <w:rPr>
        <w:color w:val="FFFFFF" w:themeColor="background1"/>
        <w:b w:val="1"/>
        <w:i w:val="0"/>
        <w:bCs w:val="1"/>
        <w:iCs w:val="0"/>
      </w:rPr>
      <w:tblPr/>
      <w:tcPr>
        <w:tcBorders>
          <w:top w:val="single" w:color="FFFFFF" w:themeColor="background1" w:sz="24" w:space="0"/>
          <w:start w:val="single" w:color="FFFFFF" w:themeColor="background1" w:sz="8" w:space="0"/>
          <w:bottom w:val="single" w:color="FFFFFF" w:themeColor="background1" w:sz="8" w:space="0"/>
          <w:end w:val="single" w:color="FFFFFF" w:themeColor="background1" w:sz="8" w:space="0"/>
          <w:insideH w:val="nil" w:sz="0"/>
          <w:insideV w:val="single" w:color="FFFFFF" w:themeColor="background1" w:sz="8" w:space="0"/>
        </w:tcBorders>
        <w:shd w:val="clear" w:color="auto" w:fill="F79646" w:themeFill="accent6"/>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start w:w="108" w:type="dxa"/>
        <w:bottom w:w="0" w:type="dxa"/>
        <w:end w:w="108" w:type="dxa"/>
      </w:tblCellMar>
    </w:tblPr>
    <w:tblStylePr w:type="band1Horz">
      <w:tblPr/>
      <w:tcPr>
        <w:shd w:val="clear" w:color="auto" w:fill="C0C0C0" w:themeFill="text1" w:themeFillTint="3F"/>
      </w:tcPr>
    </w:tblStylePr>
    <w:tblStylePr w:type="band1Vert">
      <w:tblPr/>
      <w:tcPr>
        <w:shd w:val="clear" w:color="auto" w:fill="C0C0C0" w:themeFill="text1" w:themeFillTint="3F"/>
      </w:tcPr>
    </w:tblStylePr>
    <w:tblStylePr w:type="firstCol">
      <w:rPr>
        <w:b w:val="1"/>
        <w:bCs w:val="1"/>
      </w:rPr>
    </w:tblStylePr>
    <w:tblStylePr w:type="firstRow">
      <w:rPr>
        <w:rFonts w:asciiTheme="majorHAnsi" w:hAnsiTheme="majorHAnsi" w:eastAsiaTheme="majorEastAsia" w:cstheme="majorBidi"/>
      </w:rPr>
      <w:tblPr/>
      <w:tcPr>
        <w:tcBorders>
          <w:top w:val="nil" w:sz="0"/>
          <w:bottom w:val="single" w:color="000000" w:themeColor="text1" w:sz="8" w:space="0"/>
        </w:tcBorders>
      </w:tcPr>
    </w:tblStylePr>
    <w:tblStylePr w:type="lastCol">
      <w:rPr>
        <w:b w:val="1"/>
        <w:bCs w:val="1"/>
      </w:rPr>
      <w:tblPr/>
      <w:tcPr>
        <w:tcBorders>
          <w:top w:val="single" w:color="000000" w:themeColor="text1" w:sz="8" w:space="0"/>
          <w:bottom w:val="single" w:color="000000" w:themeColor="text1" w:sz="8" w:space="0"/>
        </w:tcBorders>
      </w:tcPr>
    </w:tblStylePr>
    <w:tblStylePr w:type="lastRow">
      <w:rPr>
        <w:color w:val="1F497D" w:themeColor="text2"/>
        <w:b w:val="1"/>
        <w:bCs w:val="1"/>
      </w:rPr>
      <w:tblPr/>
      <w:tcPr>
        <w:tcBorders>
          <w:top w:val="single" w:color="000000" w:themeColor="text1" w:sz="8" w:space="0"/>
          <w:bottom w:val="single" w:color="000000" w:themeColor="text1" w:sz="8" w:space="0"/>
        </w:tcBorders>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start w:w="108" w:type="dxa"/>
        <w:bottom w:w="0" w:type="dxa"/>
        <w:end w:w="108" w:type="dxa"/>
      </w:tblCellMar>
    </w:tblPr>
    <w:tblStylePr w:type="band1Horz">
      <w:tblPr/>
      <w:tcPr>
        <w:shd w:val="clear" w:color="auto" w:fill="D3DFEE" w:themeFill="accent1" w:themeFillTint="3F"/>
      </w:tcPr>
    </w:tblStylePr>
    <w:tblStylePr w:type="band1Vert">
      <w:tblPr/>
      <w:tcPr>
        <w:shd w:val="clear" w:color="auto" w:fill="D3DFEE" w:themeFill="accent1" w:themeFillTint="3F"/>
      </w:tcPr>
    </w:tblStylePr>
    <w:tblStylePr w:type="firstCol">
      <w:rPr>
        <w:b w:val="1"/>
        <w:bCs w:val="1"/>
      </w:rPr>
    </w:tblStylePr>
    <w:tblStylePr w:type="firstRow">
      <w:rPr>
        <w:rFonts w:asciiTheme="majorHAnsi" w:hAnsiTheme="majorHAnsi" w:eastAsiaTheme="majorEastAsia" w:cstheme="majorBidi"/>
      </w:rPr>
      <w:tblPr/>
      <w:tcPr>
        <w:tcBorders>
          <w:top w:val="nil" w:sz="0"/>
          <w:bottom w:val="single" w:color="4F81BD" w:themeColor="accent1" w:sz="8" w:space="0"/>
        </w:tcBorders>
      </w:tcPr>
    </w:tblStylePr>
    <w:tblStylePr w:type="lastCol">
      <w:rPr>
        <w:b w:val="1"/>
        <w:bCs w:val="1"/>
      </w:rPr>
      <w:tblPr/>
      <w:tcPr>
        <w:tcBorders>
          <w:top w:val="single" w:color="4F81BD" w:themeColor="accent1" w:sz="8" w:space="0"/>
          <w:bottom w:val="single" w:color="4F81BD" w:themeColor="accent1" w:sz="8" w:space="0"/>
        </w:tcBorders>
      </w:tcPr>
    </w:tblStylePr>
    <w:tblStylePr w:type="lastRow">
      <w:rPr>
        <w:color w:val="1F497D" w:themeColor="text2"/>
        <w:b w:val="1"/>
        <w:bCs w:val="1"/>
      </w:rPr>
      <w:tblPr/>
      <w:tcPr>
        <w:tcBorders>
          <w:top w:val="single" w:color="4F81BD" w:themeColor="accent1" w:sz="8" w:space="0"/>
          <w:bottom w:val="single" w:color="4F81BD" w:themeColor="accent1" w:sz="8" w:space="0"/>
        </w:tcBorders>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start w:w="108" w:type="dxa"/>
        <w:bottom w:w="0" w:type="dxa"/>
        <w:end w:w="108" w:type="dxa"/>
      </w:tblCellMar>
    </w:tblPr>
    <w:tblStylePr w:type="band1Horz">
      <w:tblPr/>
      <w:tcPr>
        <w:shd w:val="clear" w:color="auto" w:fill="EFD3D2" w:themeFill="accent2" w:themeFillTint="3F"/>
      </w:tcPr>
    </w:tblStylePr>
    <w:tblStylePr w:type="band1Vert">
      <w:tblPr/>
      <w:tcPr>
        <w:shd w:val="clear" w:color="auto" w:fill="EFD3D2" w:themeFill="accent2" w:themeFillTint="3F"/>
      </w:tcPr>
    </w:tblStylePr>
    <w:tblStylePr w:type="firstCol">
      <w:rPr>
        <w:b w:val="1"/>
        <w:bCs w:val="1"/>
      </w:rPr>
    </w:tblStylePr>
    <w:tblStylePr w:type="firstRow">
      <w:rPr>
        <w:rFonts w:asciiTheme="majorHAnsi" w:hAnsiTheme="majorHAnsi" w:eastAsiaTheme="majorEastAsia" w:cstheme="majorBidi"/>
      </w:rPr>
      <w:tblPr/>
      <w:tcPr>
        <w:tcBorders>
          <w:top w:val="nil" w:sz="0"/>
          <w:bottom w:val="single" w:color="C0504D" w:themeColor="accent2" w:sz="8" w:space="0"/>
        </w:tcBorders>
      </w:tcPr>
    </w:tblStylePr>
    <w:tblStylePr w:type="lastCol">
      <w:rPr>
        <w:b w:val="1"/>
        <w:bCs w:val="1"/>
      </w:rPr>
      <w:tblPr/>
      <w:tcPr>
        <w:tcBorders>
          <w:top w:val="single" w:color="C0504D" w:themeColor="accent2" w:sz="8" w:space="0"/>
          <w:bottom w:val="single" w:color="C0504D" w:themeColor="accent2" w:sz="8" w:space="0"/>
        </w:tcBorders>
      </w:tcPr>
    </w:tblStylePr>
    <w:tblStylePr w:type="lastRow">
      <w:rPr>
        <w:color w:val="1F497D" w:themeColor="text2"/>
        <w:b w:val="1"/>
        <w:bCs w:val="1"/>
      </w:rPr>
      <w:tblPr/>
      <w:tcPr>
        <w:tcBorders>
          <w:top w:val="single" w:color="C0504D" w:themeColor="accent2" w:sz="8" w:space="0"/>
          <w:bottom w:val="single" w:color="C0504D" w:themeColor="accent2" w:sz="8" w:space="0"/>
        </w:tcBorders>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start w:w="108" w:type="dxa"/>
        <w:bottom w:w="0" w:type="dxa"/>
        <w:end w:w="108" w:type="dxa"/>
      </w:tblCellMar>
    </w:tblPr>
    <w:tblStylePr w:type="band1Horz">
      <w:tblPr/>
      <w:tcPr>
        <w:shd w:val="clear" w:color="auto" w:fill="E6EED5" w:themeFill="accent3" w:themeFillTint="3F"/>
      </w:tcPr>
    </w:tblStylePr>
    <w:tblStylePr w:type="band1Vert">
      <w:tblPr/>
      <w:tcPr>
        <w:shd w:val="clear" w:color="auto" w:fill="E6EED5" w:themeFill="accent3" w:themeFillTint="3F"/>
      </w:tcPr>
    </w:tblStylePr>
    <w:tblStylePr w:type="firstCol">
      <w:rPr>
        <w:b w:val="1"/>
        <w:bCs w:val="1"/>
      </w:rPr>
    </w:tblStylePr>
    <w:tblStylePr w:type="firstRow">
      <w:rPr>
        <w:rFonts w:asciiTheme="majorHAnsi" w:hAnsiTheme="majorHAnsi" w:eastAsiaTheme="majorEastAsia" w:cstheme="majorBidi"/>
      </w:rPr>
      <w:tblPr/>
      <w:tcPr>
        <w:tcBorders>
          <w:top w:val="nil" w:sz="0"/>
          <w:bottom w:val="single" w:color="9BBB59" w:themeColor="accent3" w:sz="8" w:space="0"/>
        </w:tcBorders>
      </w:tcPr>
    </w:tblStylePr>
    <w:tblStylePr w:type="lastCol">
      <w:rPr>
        <w:b w:val="1"/>
        <w:bCs w:val="1"/>
      </w:rPr>
      <w:tblPr/>
      <w:tcPr>
        <w:tcBorders>
          <w:top w:val="single" w:color="9BBB59" w:themeColor="accent3" w:sz="8" w:space="0"/>
          <w:bottom w:val="single" w:color="9BBB59" w:themeColor="accent3" w:sz="8" w:space="0"/>
        </w:tcBorders>
      </w:tcPr>
    </w:tblStylePr>
    <w:tblStylePr w:type="lastRow">
      <w:rPr>
        <w:color w:val="1F497D" w:themeColor="text2"/>
        <w:b w:val="1"/>
        <w:bCs w:val="1"/>
      </w:rPr>
      <w:tblPr/>
      <w:tcPr>
        <w:tcBorders>
          <w:top w:val="single" w:color="9BBB59" w:themeColor="accent3" w:sz="8" w:space="0"/>
          <w:bottom w:val="single" w:color="9BBB59" w:themeColor="accent3" w:sz="8" w:space="0"/>
        </w:tcBorders>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start w:w="108" w:type="dxa"/>
        <w:bottom w:w="0" w:type="dxa"/>
        <w:end w:w="108" w:type="dxa"/>
      </w:tblCellMar>
    </w:tblPr>
    <w:tblStylePr w:type="band1Horz">
      <w:tblPr/>
      <w:tcPr>
        <w:shd w:val="clear" w:color="auto" w:fill="DFD8E8" w:themeFill="accent4" w:themeFillTint="3F"/>
      </w:tcPr>
    </w:tblStylePr>
    <w:tblStylePr w:type="band1Vert">
      <w:tblPr/>
      <w:tcPr>
        <w:shd w:val="clear" w:color="auto" w:fill="DFD8E8" w:themeFill="accent4" w:themeFillTint="3F"/>
      </w:tcPr>
    </w:tblStylePr>
    <w:tblStylePr w:type="firstCol">
      <w:rPr>
        <w:b w:val="1"/>
        <w:bCs w:val="1"/>
      </w:rPr>
    </w:tblStylePr>
    <w:tblStylePr w:type="firstRow">
      <w:rPr>
        <w:rFonts w:asciiTheme="majorHAnsi" w:hAnsiTheme="majorHAnsi" w:eastAsiaTheme="majorEastAsia" w:cstheme="majorBidi"/>
      </w:rPr>
      <w:tblPr/>
      <w:tcPr>
        <w:tcBorders>
          <w:top w:val="nil" w:sz="0"/>
          <w:bottom w:val="single" w:color="8064A2" w:themeColor="accent4" w:sz="8" w:space="0"/>
        </w:tcBorders>
      </w:tcPr>
    </w:tblStylePr>
    <w:tblStylePr w:type="lastCol">
      <w:rPr>
        <w:b w:val="1"/>
        <w:bCs w:val="1"/>
      </w:rPr>
      <w:tblPr/>
      <w:tcPr>
        <w:tcBorders>
          <w:top w:val="single" w:color="8064A2" w:themeColor="accent4" w:sz="8" w:space="0"/>
          <w:bottom w:val="single" w:color="8064A2" w:themeColor="accent4" w:sz="8" w:space="0"/>
        </w:tcBorders>
      </w:tcPr>
    </w:tblStylePr>
    <w:tblStylePr w:type="lastRow">
      <w:rPr>
        <w:color w:val="1F497D" w:themeColor="text2"/>
        <w:b w:val="1"/>
        <w:bCs w:val="1"/>
      </w:rPr>
      <w:tblPr/>
      <w:tcPr>
        <w:tcBorders>
          <w:top w:val="single" w:color="8064A2" w:themeColor="accent4" w:sz="8" w:space="0"/>
          <w:bottom w:val="single" w:color="8064A2" w:themeColor="accent4" w:sz="8" w:space="0"/>
        </w:tcBorders>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start w:w="108" w:type="dxa"/>
        <w:bottom w:w="0" w:type="dxa"/>
        <w:end w:w="108" w:type="dxa"/>
      </w:tblCellMar>
    </w:tblPr>
    <w:tblStylePr w:type="band1Horz">
      <w:tblPr/>
      <w:tcPr>
        <w:shd w:val="clear" w:color="auto" w:fill="D2EAF1" w:themeFill="accent5" w:themeFillTint="3F"/>
      </w:tcPr>
    </w:tblStylePr>
    <w:tblStylePr w:type="band1Vert">
      <w:tblPr/>
      <w:tcPr>
        <w:shd w:val="clear" w:color="auto" w:fill="D2EAF1" w:themeFill="accent5" w:themeFillTint="3F"/>
      </w:tcPr>
    </w:tblStylePr>
    <w:tblStylePr w:type="firstCol">
      <w:rPr>
        <w:b w:val="1"/>
        <w:bCs w:val="1"/>
      </w:rPr>
    </w:tblStylePr>
    <w:tblStylePr w:type="firstRow">
      <w:rPr>
        <w:rFonts w:asciiTheme="majorHAnsi" w:hAnsiTheme="majorHAnsi" w:eastAsiaTheme="majorEastAsia" w:cstheme="majorBidi"/>
      </w:rPr>
      <w:tblPr/>
      <w:tcPr>
        <w:tcBorders>
          <w:top w:val="nil" w:sz="0"/>
          <w:bottom w:val="single" w:color="4BACC6" w:themeColor="accent5" w:sz="8" w:space="0"/>
        </w:tcBorders>
      </w:tcPr>
    </w:tblStylePr>
    <w:tblStylePr w:type="lastCol">
      <w:rPr>
        <w:b w:val="1"/>
        <w:bCs w:val="1"/>
      </w:rPr>
      <w:tblPr/>
      <w:tcPr>
        <w:tcBorders>
          <w:top w:val="single" w:color="4BACC6" w:themeColor="accent5" w:sz="8" w:space="0"/>
          <w:bottom w:val="single" w:color="4BACC6" w:themeColor="accent5" w:sz="8" w:space="0"/>
        </w:tcBorders>
      </w:tcPr>
    </w:tblStylePr>
    <w:tblStylePr w:type="lastRow">
      <w:rPr>
        <w:color w:val="1F497D" w:themeColor="text2"/>
        <w:b w:val="1"/>
        <w:bCs w:val="1"/>
      </w:rPr>
      <w:tblPr/>
      <w:tcPr>
        <w:tcBorders>
          <w:top w:val="single" w:color="4BACC6" w:themeColor="accent5" w:sz="8" w:space="0"/>
          <w:bottom w:val="single" w:color="4BACC6" w:themeColor="accent5" w:sz="8" w:space="0"/>
        </w:tcBorders>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start w:w="108" w:type="dxa"/>
        <w:bottom w:w="0" w:type="dxa"/>
        <w:end w:w="108" w:type="dxa"/>
      </w:tblCellMar>
    </w:tblPr>
    <w:tblStylePr w:type="band1Horz">
      <w:tblPr/>
      <w:tcPr>
        <w:shd w:val="clear" w:color="auto" w:fill="FDE4D0" w:themeFill="accent6" w:themeFillTint="3F"/>
      </w:tcPr>
    </w:tblStylePr>
    <w:tblStylePr w:type="band1Vert">
      <w:tblPr/>
      <w:tcPr>
        <w:shd w:val="clear" w:color="auto" w:fill="FDE4D0" w:themeFill="accent6" w:themeFillTint="3F"/>
      </w:tcPr>
    </w:tblStylePr>
    <w:tblStylePr w:type="firstCol">
      <w:rPr>
        <w:b w:val="1"/>
        <w:bCs w:val="1"/>
      </w:rPr>
    </w:tblStylePr>
    <w:tblStylePr w:type="firstRow">
      <w:rPr>
        <w:rFonts w:asciiTheme="majorHAnsi" w:hAnsiTheme="majorHAnsi" w:eastAsiaTheme="majorEastAsia" w:cstheme="majorBidi"/>
      </w:rPr>
      <w:tblPr/>
      <w:tcPr>
        <w:tcBorders>
          <w:top w:val="nil" w:sz="0"/>
          <w:bottom w:val="single" w:color="F79646" w:themeColor="accent6" w:sz="8" w:space="0"/>
        </w:tcBorders>
      </w:tcPr>
    </w:tblStylePr>
    <w:tblStylePr w:type="lastCol">
      <w:rPr>
        <w:b w:val="1"/>
        <w:bCs w:val="1"/>
      </w:rPr>
      <w:tblPr/>
      <w:tcPr>
        <w:tcBorders>
          <w:top w:val="single" w:color="F79646" w:themeColor="accent6" w:sz="8" w:space="0"/>
          <w:bottom w:val="single" w:color="F79646" w:themeColor="accent6" w:sz="8" w:space="0"/>
        </w:tcBorders>
      </w:tcPr>
    </w:tblStylePr>
    <w:tblStylePr w:type="lastRow">
      <w:rPr>
        <w:color w:val="1F497D" w:themeColor="text2"/>
        <w:b w:val="1"/>
        <w:bCs w:val="1"/>
      </w:rPr>
      <w:tblPr/>
      <w:tcPr>
        <w:tcBorders>
          <w:top w:val="single" w:color="F79646" w:themeColor="accent6" w:sz="8" w:space="0"/>
          <w:bottom w:val="single" w:color="F79646" w:themeColor="accent6" w:sz="8" w:space="0"/>
        </w:tcBorders>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start w:w="108" w:type="dxa"/>
        <w:bottom w:w="0" w:type="dxa"/>
        <w:end w:w="108" w:type="dxa"/>
      </w:tblCellMar>
    </w:tblPr>
    <w:tblStylePr w:type="band1Horz">
      <w:tblPr/>
      <w:tcPr>
        <w:tcBorders>
          <w:top w:val="nil" w:sz="0"/>
          <w:bottom w:val="nil" w:sz="0"/>
          <w:insideH w:val="nil" w:sz="0"/>
          <w:insideV w:val="nil" w:sz="0"/>
        </w:tcBorders>
        <w:shd w:val="clear" w:color="auto" w:fill="C0C0C0" w:themeFill="text1" w:themeFillTint="3F"/>
      </w:tcPr>
    </w:tblStylePr>
    <w:tblStylePr w:type="band1Vert">
      <w:tblPr/>
      <w:tcPr>
        <w:tcBorders>
          <w:start w:val="nil" w:sz="0"/>
          <w:end w:val="nil" w:sz="0"/>
          <w:insideH w:val="nil" w:sz="0"/>
          <w:insideV w:val="nil" w:sz="0"/>
        </w:tcBorders>
        <w:shd w:val="clear" w:color="auto" w:fill="C0C0C0" w:themeFill="text1" w:themeFillTint="3F"/>
      </w:tcPr>
    </w:tblStylePr>
    <w:tblStylePr w:type="firstCol">
      <w:tblPr/>
      <w:tcPr>
        <w:tcBorders>
          <w:top w:val="nil" w:sz="0"/>
          <w:start w:val="nil" w:sz="0"/>
          <w:bottom w:val="nil" w:sz="0"/>
          <w:end w:val="single" w:color="000000" w:themeColor="text1" w:sz="8" w:space="0"/>
          <w:insideH w:val="nil" w:sz="0"/>
          <w:insideV w:val="nil" w:sz="0"/>
        </w:tcBorders>
        <w:shd w:val="clear" w:color="auto" w:fill="FFFFFF" w:themeFill="background1"/>
      </w:tcPr>
    </w:tblStylePr>
    <w:tblStylePr w:type="firstRow">
      <w:rPr>
        <w:sz w:val="24"/>
        <w:szCs w:val="24"/>
      </w:rPr>
      <w:tblPr/>
      <w:tcPr>
        <w:tcBorders>
          <w:top w:val="nil" w:sz="0"/>
          <w:start w:val="nil" w:sz="0"/>
          <w:bottom w:val="single" w:color="000000" w:themeColor="text1" w:sz="24" w:space="0"/>
          <w:end w:val="nil" w:sz="0"/>
          <w:insideH w:val="nil" w:sz="0"/>
          <w:insideV w:val="nil" w:sz="0"/>
        </w:tcBorders>
        <w:shd w:val="clear" w:color="auto" w:fill="FFFFFF" w:themeFill="background1"/>
      </w:tcPr>
    </w:tblStylePr>
    <w:tblStylePr w:type="lastCol">
      <w:tblPr/>
      <w:tcPr>
        <w:tcBorders>
          <w:top w:val="nil" w:sz="0"/>
          <w:start w:val="single" w:color="000000" w:themeColor="text1" w:sz="8" w:space="0"/>
          <w:bottom w:val="nil" w:sz="0"/>
          <w:end w:val="nil" w:sz="0"/>
          <w:insideH w:val="nil" w:sz="0"/>
          <w:insideV w:val="nil" w:sz="0"/>
        </w:tcBorders>
        <w:shd w:val="clear" w:color="auto" w:fill="FFFFFF" w:themeFill="background1"/>
      </w:tcPr>
    </w:tblStylePr>
    <w:tblStylePr w:type="lastRow">
      <w:tblPr/>
      <w:tcPr>
        <w:tcBorders>
          <w:top w:val="single" w:color="000000" w:themeColor="text1" w:sz="8" w:space="0"/>
          <w:start w:val="nil" w:sz="0"/>
          <w:bottom w:val="nil" w:sz="0"/>
          <w:end w:val="nil" w:sz="0"/>
          <w:insideH w:val="nil" w:sz="0"/>
          <w:insideV w:val="nil" w:sz="0"/>
        </w:tcBorders>
        <w:shd w:val="clear" w:color="auto" w:fill="FFFFFF" w:themeFill="background1"/>
      </w:tcPr>
    </w:tblStylePr>
    <w:tblStylePr w:type="nwCell">
      <w:tblPr/>
      <w:tcPr>
        <w:shd w:val="clear" w:color="auto" w:fill="FFFFFF" w:themeFill="background1"/>
      </w:tcPr>
    </w:tblStylePr>
    <w:tblStylePr w:type="swCell">
      <w:tblPr/>
      <w:tcPr>
        <w:tcBorders>
          <w:top w:val="nil" w:sz="0"/>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start w:w="108" w:type="dxa"/>
        <w:bottom w:w="0" w:type="dxa"/>
        <w:end w:w="108" w:type="dxa"/>
      </w:tblCellMar>
    </w:tblPr>
    <w:tblStylePr w:type="band1Horz">
      <w:tblPr/>
      <w:tcPr>
        <w:tcBorders>
          <w:top w:val="nil" w:sz="0"/>
          <w:bottom w:val="nil" w:sz="0"/>
          <w:insideH w:val="nil" w:sz="0"/>
          <w:insideV w:val="nil" w:sz="0"/>
        </w:tcBorders>
        <w:shd w:val="clear" w:color="auto" w:fill="D3DFEE" w:themeFill="accent1" w:themeFillTint="3F"/>
      </w:tcPr>
    </w:tblStylePr>
    <w:tblStylePr w:type="band1Vert">
      <w:tblPr/>
      <w:tcPr>
        <w:tcBorders>
          <w:start w:val="nil" w:sz="0"/>
          <w:end w:val="nil" w:sz="0"/>
          <w:insideH w:val="nil" w:sz="0"/>
          <w:insideV w:val="nil" w:sz="0"/>
        </w:tcBorders>
        <w:shd w:val="clear" w:color="auto" w:fill="D3DFEE" w:themeFill="accent1" w:themeFillTint="3F"/>
      </w:tcPr>
    </w:tblStylePr>
    <w:tblStylePr w:type="firstCol">
      <w:tblPr/>
      <w:tcPr>
        <w:tcBorders>
          <w:top w:val="nil" w:sz="0"/>
          <w:start w:val="nil" w:sz="0"/>
          <w:bottom w:val="nil" w:sz="0"/>
          <w:end w:val="single" w:color="4F81BD" w:themeColor="accent1" w:sz="8" w:space="0"/>
          <w:insideH w:val="nil" w:sz="0"/>
          <w:insideV w:val="nil" w:sz="0"/>
        </w:tcBorders>
        <w:shd w:val="clear" w:color="auto" w:fill="FFFFFF" w:themeFill="background1"/>
      </w:tcPr>
    </w:tblStylePr>
    <w:tblStylePr w:type="firstRow">
      <w:rPr>
        <w:sz w:val="24"/>
        <w:szCs w:val="24"/>
      </w:rPr>
      <w:tblPr/>
      <w:tcPr>
        <w:tcBorders>
          <w:top w:val="nil" w:sz="0"/>
          <w:start w:val="nil" w:sz="0"/>
          <w:bottom w:val="single" w:color="4F81BD" w:themeColor="accent1" w:sz="24" w:space="0"/>
          <w:end w:val="nil" w:sz="0"/>
          <w:insideH w:val="nil" w:sz="0"/>
          <w:insideV w:val="nil" w:sz="0"/>
        </w:tcBorders>
        <w:shd w:val="clear" w:color="auto" w:fill="FFFFFF" w:themeFill="background1"/>
      </w:tcPr>
    </w:tblStylePr>
    <w:tblStylePr w:type="lastCol">
      <w:tblPr/>
      <w:tcPr>
        <w:tcBorders>
          <w:top w:val="nil" w:sz="0"/>
          <w:start w:val="single" w:color="4F81BD" w:themeColor="accent1" w:sz="8" w:space="0"/>
          <w:bottom w:val="nil" w:sz="0"/>
          <w:end w:val="nil" w:sz="0"/>
          <w:insideH w:val="nil" w:sz="0"/>
          <w:insideV w:val="nil" w:sz="0"/>
        </w:tcBorders>
        <w:shd w:val="clear" w:color="auto" w:fill="FFFFFF" w:themeFill="background1"/>
      </w:tcPr>
    </w:tblStylePr>
    <w:tblStylePr w:type="lastRow">
      <w:tblPr/>
      <w:tcPr>
        <w:tcBorders>
          <w:top w:val="single" w:color="4F81BD" w:themeColor="accent1" w:sz="8" w:space="0"/>
          <w:start w:val="nil" w:sz="0"/>
          <w:bottom w:val="nil" w:sz="0"/>
          <w:end w:val="nil" w:sz="0"/>
          <w:insideH w:val="nil" w:sz="0"/>
          <w:insideV w:val="nil" w:sz="0"/>
        </w:tcBorders>
        <w:shd w:val="clear" w:color="auto" w:fill="FFFFFF" w:themeFill="background1"/>
      </w:tcPr>
    </w:tblStylePr>
    <w:tblStylePr w:type="nwCell">
      <w:tblPr/>
      <w:tcPr>
        <w:shd w:val="clear" w:color="auto" w:fill="FFFFFF" w:themeFill="background1"/>
      </w:tcPr>
    </w:tblStylePr>
    <w:tblStylePr w:type="swCell">
      <w:tblPr/>
      <w:tcPr>
        <w:tcBorders>
          <w:top w:val="nil" w:sz="0"/>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start w:w="108" w:type="dxa"/>
        <w:bottom w:w="0" w:type="dxa"/>
        <w:end w:w="108" w:type="dxa"/>
      </w:tblCellMar>
    </w:tblPr>
    <w:tblStylePr w:type="band1Horz">
      <w:tblPr/>
      <w:tcPr>
        <w:tcBorders>
          <w:top w:val="nil" w:sz="0"/>
          <w:bottom w:val="nil" w:sz="0"/>
          <w:insideH w:val="nil" w:sz="0"/>
          <w:insideV w:val="nil" w:sz="0"/>
        </w:tcBorders>
        <w:shd w:val="clear" w:color="auto" w:fill="EFD3D2" w:themeFill="accent2" w:themeFillTint="3F"/>
      </w:tcPr>
    </w:tblStylePr>
    <w:tblStylePr w:type="band1Vert">
      <w:tblPr/>
      <w:tcPr>
        <w:tcBorders>
          <w:start w:val="nil" w:sz="0"/>
          <w:end w:val="nil" w:sz="0"/>
          <w:insideH w:val="nil" w:sz="0"/>
          <w:insideV w:val="nil" w:sz="0"/>
        </w:tcBorders>
        <w:shd w:val="clear" w:color="auto" w:fill="EFD3D2" w:themeFill="accent2" w:themeFillTint="3F"/>
      </w:tcPr>
    </w:tblStylePr>
    <w:tblStylePr w:type="firstCol">
      <w:tblPr/>
      <w:tcPr>
        <w:tcBorders>
          <w:top w:val="nil" w:sz="0"/>
          <w:start w:val="nil" w:sz="0"/>
          <w:bottom w:val="nil" w:sz="0"/>
          <w:end w:val="single" w:color="C0504D" w:themeColor="accent2" w:sz="8" w:space="0"/>
          <w:insideH w:val="nil" w:sz="0"/>
          <w:insideV w:val="nil" w:sz="0"/>
        </w:tcBorders>
        <w:shd w:val="clear" w:color="auto" w:fill="FFFFFF" w:themeFill="background1"/>
      </w:tcPr>
    </w:tblStylePr>
    <w:tblStylePr w:type="firstRow">
      <w:rPr>
        <w:sz w:val="24"/>
        <w:szCs w:val="24"/>
      </w:rPr>
      <w:tblPr/>
      <w:tcPr>
        <w:tcBorders>
          <w:top w:val="nil" w:sz="0"/>
          <w:start w:val="nil" w:sz="0"/>
          <w:bottom w:val="single" w:color="C0504D" w:themeColor="accent2" w:sz="24" w:space="0"/>
          <w:end w:val="nil" w:sz="0"/>
          <w:insideH w:val="nil" w:sz="0"/>
          <w:insideV w:val="nil" w:sz="0"/>
        </w:tcBorders>
        <w:shd w:val="clear" w:color="auto" w:fill="FFFFFF" w:themeFill="background1"/>
      </w:tcPr>
    </w:tblStylePr>
    <w:tblStylePr w:type="lastCol">
      <w:tblPr/>
      <w:tcPr>
        <w:tcBorders>
          <w:top w:val="nil" w:sz="0"/>
          <w:start w:val="single" w:color="C0504D" w:themeColor="accent2" w:sz="8" w:space="0"/>
          <w:bottom w:val="nil" w:sz="0"/>
          <w:end w:val="nil" w:sz="0"/>
          <w:insideH w:val="nil" w:sz="0"/>
          <w:insideV w:val="nil" w:sz="0"/>
        </w:tcBorders>
        <w:shd w:val="clear" w:color="auto" w:fill="FFFFFF" w:themeFill="background1"/>
      </w:tcPr>
    </w:tblStylePr>
    <w:tblStylePr w:type="lastRow">
      <w:tblPr/>
      <w:tcPr>
        <w:tcBorders>
          <w:top w:val="single" w:color="C0504D" w:themeColor="accent2" w:sz="8" w:space="0"/>
          <w:start w:val="nil" w:sz="0"/>
          <w:bottom w:val="nil" w:sz="0"/>
          <w:end w:val="nil" w:sz="0"/>
          <w:insideH w:val="nil" w:sz="0"/>
          <w:insideV w:val="nil" w:sz="0"/>
        </w:tcBorders>
        <w:shd w:val="clear" w:color="auto" w:fill="FFFFFF" w:themeFill="background1"/>
      </w:tcPr>
    </w:tblStylePr>
    <w:tblStylePr w:type="nwCell">
      <w:tblPr/>
      <w:tcPr>
        <w:shd w:val="clear" w:color="auto" w:fill="FFFFFF" w:themeFill="background1"/>
      </w:tcPr>
    </w:tblStylePr>
    <w:tblStylePr w:type="swCell">
      <w:tblPr/>
      <w:tcPr>
        <w:tcBorders>
          <w:top w:val="nil" w:sz="0"/>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start w:w="108" w:type="dxa"/>
        <w:bottom w:w="0" w:type="dxa"/>
        <w:end w:w="108" w:type="dxa"/>
      </w:tblCellMar>
    </w:tblPr>
    <w:tblStylePr w:type="band1Horz">
      <w:tblPr/>
      <w:tcPr>
        <w:tcBorders>
          <w:top w:val="nil" w:sz="0"/>
          <w:bottom w:val="nil" w:sz="0"/>
          <w:insideH w:val="nil" w:sz="0"/>
          <w:insideV w:val="nil" w:sz="0"/>
        </w:tcBorders>
        <w:shd w:val="clear" w:color="auto" w:fill="E6EED5" w:themeFill="accent3" w:themeFillTint="3F"/>
      </w:tcPr>
    </w:tblStylePr>
    <w:tblStylePr w:type="band1Vert">
      <w:tblPr/>
      <w:tcPr>
        <w:tcBorders>
          <w:start w:val="nil" w:sz="0"/>
          <w:end w:val="nil" w:sz="0"/>
          <w:insideH w:val="nil" w:sz="0"/>
          <w:insideV w:val="nil" w:sz="0"/>
        </w:tcBorders>
        <w:shd w:val="clear" w:color="auto" w:fill="E6EED5" w:themeFill="accent3" w:themeFillTint="3F"/>
      </w:tcPr>
    </w:tblStylePr>
    <w:tblStylePr w:type="firstCol">
      <w:tblPr/>
      <w:tcPr>
        <w:tcBorders>
          <w:top w:val="nil" w:sz="0"/>
          <w:start w:val="nil" w:sz="0"/>
          <w:bottom w:val="nil" w:sz="0"/>
          <w:end w:val="single" w:color="9BBB59" w:themeColor="accent3" w:sz="8" w:space="0"/>
          <w:insideH w:val="nil" w:sz="0"/>
          <w:insideV w:val="nil" w:sz="0"/>
        </w:tcBorders>
        <w:shd w:val="clear" w:color="auto" w:fill="FFFFFF" w:themeFill="background1"/>
      </w:tcPr>
    </w:tblStylePr>
    <w:tblStylePr w:type="firstRow">
      <w:rPr>
        <w:sz w:val="24"/>
        <w:szCs w:val="24"/>
      </w:rPr>
      <w:tblPr/>
      <w:tcPr>
        <w:tcBorders>
          <w:top w:val="nil" w:sz="0"/>
          <w:start w:val="nil" w:sz="0"/>
          <w:bottom w:val="single" w:color="9BBB59" w:themeColor="accent3" w:sz="24" w:space="0"/>
          <w:end w:val="nil" w:sz="0"/>
          <w:insideH w:val="nil" w:sz="0"/>
          <w:insideV w:val="nil" w:sz="0"/>
        </w:tcBorders>
        <w:shd w:val="clear" w:color="auto" w:fill="FFFFFF" w:themeFill="background1"/>
      </w:tcPr>
    </w:tblStylePr>
    <w:tblStylePr w:type="lastCol">
      <w:tblPr/>
      <w:tcPr>
        <w:tcBorders>
          <w:top w:val="nil" w:sz="0"/>
          <w:start w:val="single" w:color="9BBB59" w:themeColor="accent3" w:sz="8" w:space="0"/>
          <w:bottom w:val="nil" w:sz="0"/>
          <w:end w:val="nil" w:sz="0"/>
          <w:insideH w:val="nil" w:sz="0"/>
          <w:insideV w:val="nil" w:sz="0"/>
        </w:tcBorders>
        <w:shd w:val="clear" w:color="auto" w:fill="FFFFFF" w:themeFill="background1"/>
      </w:tcPr>
    </w:tblStylePr>
    <w:tblStylePr w:type="lastRow">
      <w:tblPr/>
      <w:tcPr>
        <w:tcBorders>
          <w:top w:val="single" w:color="9BBB59" w:themeColor="accent3" w:sz="8" w:space="0"/>
          <w:start w:val="nil" w:sz="0"/>
          <w:bottom w:val="nil" w:sz="0"/>
          <w:end w:val="nil" w:sz="0"/>
          <w:insideH w:val="nil" w:sz="0"/>
          <w:insideV w:val="nil" w:sz="0"/>
        </w:tcBorders>
        <w:shd w:val="clear" w:color="auto" w:fill="FFFFFF" w:themeFill="background1"/>
      </w:tcPr>
    </w:tblStylePr>
    <w:tblStylePr w:type="nwCell">
      <w:tblPr/>
      <w:tcPr>
        <w:shd w:val="clear" w:color="auto" w:fill="FFFFFF" w:themeFill="background1"/>
      </w:tcPr>
    </w:tblStylePr>
    <w:tblStylePr w:type="swCell">
      <w:tblPr/>
      <w:tcPr>
        <w:tcBorders>
          <w:top w:val="nil" w:sz="0"/>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start w:w="108" w:type="dxa"/>
        <w:bottom w:w="0" w:type="dxa"/>
        <w:end w:w="108" w:type="dxa"/>
      </w:tblCellMar>
    </w:tblPr>
    <w:tblStylePr w:type="band1Horz">
      <w:tblPr/>
      <w:tcPr>
        <w:tcBorders>
          <w:top w:val="nil" w:sz="0"/>
          <w:bottom w:val="nil" w:sz="0"/>
          <w:insideH w:val="nil" w:sz="0"/>
          <w:insideV w:val="nil" w:sz="0"/>
        </w:tcBorders>
        <w:shd w:val="clear" w:color="auto" w:fill="DFD8E8" w:themeFill="accent4" w:themeFillTint="3F"/>
      </w:tcPr>
    </w:tblStylePr>
    <w:tblStylePr w:type="band1Vert">
      <w:tblPr/>
      <w:tcPr>
        <w:tcBorders>
          <w:start w:val="nil" w:sz="0"/>
          <w:end w:val="nil" w:sz="0"/>
          <w:insideH w:val="nil" w:sz="0"/>
          <w:insideV w:val="nil" w:sz="0"/>
        </w:tcBorders>
        <w:shd w:val="clear" w:color="auto" w:fill="DFD8E8" w:themeFill="accent4" w:themeFillTint="3F"/>
      </w:tcPr>
    </w:tblStylePr>
    <w:tblStylePr w:type="firstCol">
      <w:tblPr/>
      <w:tcPr>
        <w:tcBorders>
          <w:top w:val="nil" w:sz="0"/>
          <w:start w:val="nil" w:sz="0"/>
          <w:bottom w:val="nil" w:sz="0"/>
          <w:end w:val="single" w:color="8064A2" w:themeColor="accent4" w:sz="8" w:space="0"/>
          <w:insideH w:val="nil" w:sz="0"/>
          <w:insideV w:val="nil" w:sz="0"/>
        </w:tcBorders>
        <w:shd w:val="clear" w:color="auto" w:fill="FFFFFF" w:themeFill="background1"/>
      </w:tcPr>
    </w:tblStylePr>
    <w:tblStylePr w:type="firstRow">
      <w:rPr>
        <w:sz w:val="24"/>
        <w:szCs w:val="24"/>
      </w:rPr>
      <w:tblPr/>
      <w:tcPr>
        <w:tcBorders>
          <w:top w:val="nil" w:sz="0"/>
          <w:start w:val="nil" w:sz="0"/>
          <w:bottom w:val="single" w:color="8064A2" w:themeColor="accent4" w:sz="24" w:space="0"/>
          <w:end w:val="nil" w:sz="0"/>
          <w:insideH w:val="nil" w:sz="0"/>
          <w:insideV w:val="nil" w:sz="0"/>
        </w:tcBorders>
        <w:shd w:val="clear" w:color="auto" w:fill="FFFFFF" w:themeFill="background1"/>
      </w:tcPr>
    </w:tblStylePr>
    <w:tblStylePr w:type="lastCol">
      <w:tblPr/>
      <w:tcPr>
        <w:tcBorders>
          <w:top w:val="nil" w:sz="0"/>
          <w:start w:val="single" w:color="8064A2" w:themeColor="accent4" w:sz="8" w:space="0"/>
          <w:bottom w:val="nil" w:sz="0"/>
          <w:end w:val="nil" w:sz="0"/>
          <w:insideH w:val="nil" w:sz="0"/>
          <w:insideV w:val="nil" w:sz="0"/>
        </w:tcBorders>
        <w:shd w:val="clear" w:color="auto" w:fill="FFFFFF" w:themeFill="background1"/>
      </w:tcPr>
    </w:tblStylePr>
    <w:tblStylePr w:type="lastRow">
      <w:tblPr/>
      <w:tcPr>
        <w:tcBorders>
          <w:top w:val="single" w:color="8064A2" w:themeColor="accent4" w:sz="8" w:space="0"/>
          <w:start w:val="nil" w:sz="0"/>
          <w:bottom w:val="nil" w:sz="0"/>
          <w:end w:val="nil" w:sz="0"/>
          <w:insideH w:val="nil" w:sz="0"/>
          <w:insideV w:val="nil" w:sz="0"/>
        </w:tcBorders>
        <w:shd w:val="clear" w:color="auto" w:fill="FFFFFF" w:themeFill="background1"/>
      </w:tcPr>
    </w:tblStylePr>
    <w:tblStylePr w:type="nwCell">
      <w:tblPr/>
      <w:tcPr>
        <w:shd w:val="clear" w:color="auto" w:fill="FFFFFF" w:themeFill="background1"/>
      </w:tcPr>
    </w:tblStylePr>
    <w:tblStylePr w:type="swCell">
      <w:tblPr/>
      <w:tcPr>
        <w:tcBorders>
          <w:top w:val="nil" w:sz="0"/>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start w:w="108" w:type="dxa"/>
        <w:bottom w:w="0" w:type="dxa"/>
        <w:end w:w="108" w:type="dxa"/>
      </w:tblCellMar>
    </w:tblPr>
    <w:tblStylePr w:type="band1Horz">
      <w:tblPr/>
      <w:tcPr>
        <w:tcBorders>
          <w:top w:val="nil" w:sz="0"/>
          <w:bottom w:val="nil" w:sz="0"/>
          <w:insideH w:val="nil" w:sz="0"/>
          <w:insideV w:val="nil" w:sz="0"/>
        </w:tcBorders>
        <w:shd w:val="clear" w:color="auto" w:fill="D2EAF1" w:themeFill="accent5" w:themeFillTint="3F"/>
      </w:tcPr>
    </w:tblStylePr>
    <w:tblStylePr w:type="band1Vert">
      <w:tblPr/>
      <w:tcPr>
        <w:tcBorders>
          <w:start w:val="nil" w:sz="0"/>
          <w:end w:val="nil" w:sz="0"/>
          <w:insideH w:val="nil" w:sz="0"/>
          <w:insideV w:val="nil" w:sz="0"/>
        </w:tcBorders>
        <w:shd w:val="clear" w:color="auto" w:fill="D2EAF1" w:themeFill="accent5" w:themeFillTint="3F"/>
      </w:tcPr>
    </w:tblStylePr>
    <w:tblStylePr w:type="firstCol">
      <w:tblPr/>
      <w:tcPr>
        <w:tcBorders>
          <w:top w:val="nil" w:sz="0"/>
          <w:start w:val="nil" w:sz="0"/>
          <w:bottom w:val="nil" w:sz="0"/>
          <w:end w:val="single" w:color="4BACC6" w:themeColor="accent5" w:sz="8" w:space="0"/>
          <w:insideH w:val="nil" w:sz="0"/>
          <w:insideV w:val="nil" w:sz="0"/>
        </w:tcBorders>
        <w:shd w:val="clear" w:color="auto" w:fill="FFFFFF" w:themeFill="background1"/>
      </w:tcPr>
    </w:tblStylePr>
    <w:tblStylePr w:type="firstRow">
      <w:rPr>
        <w:sz w:val="24"/>
        <w:szCs w:val="24"/>
      </w:rPr>
      <w:tblPr/>
      <w:tcPr>
        <w:tcBorders>
          <w:top w:val="nil" w:sz="0"/>
          <w:start w:val="nil" w:sz="0"/>
          <w:bottom w:val="single" w:color="4BACC6" w:themeColor="accent5" w:sz="24" w:space="0"/>
          <w:end w:val="nil" w:sz="0"/>
          <w:insideH w:val="nil" w:sz="0"/>
          <w:insideV w:val="nil" w:sz="0"/>
        </w:tcBorders>
        <w:shd w:val="clear" w:color="auto" w:fill="FFFFFF" w:themeFill="background1"/>
      </w:tcPr>
    </w:tblStylePr>
    <w:tblStylePr w:type="lastCol">
      <w:tblPr/>
      <w:tcPr>
        <w:tcBorders>
          <w:top w:val="nil" w:sz="0"/>
          <w:start w:val="single" w:color="4BACC6" w:themeColor="accent5" w:sz="8" w:space="0"/>
          <w:bottom w:val="nil" w:sz="0"/>
          <w:end w:val="nil" w:sz="0"/>
          <w:insideH w:val="nil" w:sz="0"/>
          <w:insideV w:val="nil" w:sz="0"/>
        </w:tcBorders>
        <w:shd w:val="clear" w:color="auto" w:fill="FFFFFF" w:themeFill="background1"/>
      </w:tcPr>
    </w:tblStylePr>
    <w:tblStylePr w:type="lastRow">
      <w:tblPr/>
      <w:tcPr>
        <w:tcBorders>
          <w:top w:val="single" w:color="4BACC6" w:themeColor="accent5" w:sz="8" w:space="0"/>
          <w:start w:val="nil" w:sz="0"/>
          <w:bottom w:val="nil" w:sz="0"/>
          <w:end w:val="nil" w:sz="0"/>
          <w:insideH w:val="nil" w:sz="0"/>
          <w:insideV w:val="nil" w:sz="0"/>
        </w:tcBorders>
        <w:shd w:val="clear" w:color="auto" w:fill="FFFFFF" w:themeFill="background1"/>
      </w:tcPr>
    </w:tblStylePr>
    <w:tblStylePr w:type="nwCell">
      <w:tblPr/>
      <w:tcPr>
        <w:shd w:val="clear" w:color="auto" w:fill="FFFFFF" w:themeFill="background1"/>
      </w:tcPr>
    </w:tblStylePr>
    <w:tblStylePr w:type="swCell">
      <w:tblPr/>
      <w:tcPr>
        <w:tcBorders>
          <w:top w:val="nil" w:sz="0"/>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start w:w="108" w:type="dxa"/>
        <w:bottom w:w="0" w:type="dxa"/>
        <w:end w:w="108" w:type="dxa"/>
      </w:tblCellMar>
    </w:tblPr>
    <w:tblStylePr w:type="band1Horz">
      <w:tblPr/>
      <w:tcPr>
        <w:tcBorders>
          <w:top w:val="nil" w:sz="0"/>
          <w:bottom w:val="nil" w:sz="0"/>
          <w:insideH w:val="nil" w:sz="0"/>
          <w:insideV w:val="nil" w:sz="0"/>
        </w:tcBorders>
        <w:shd w:val="clear" w:color="auto" w:fill="FDE4D0" w:themeFill="accent6" w:themeFillTint="3F"/>
      </w:tcPr>
    </w:tblStylePr>
    <w:tblStylePr w:type="band1Vert">
      <w:tblPr/>
      <w:tcPr>
        <w:tcBorders>
          <w:start w:val="nil" w:sz="0"/>
          <w:end w:val="nil" w:sz="0"/>
          <w:insideH w:val="nil" w:sz="0"/>
          <w:insideV w:val="nil" w:sz="0"/>
        </w:tcBorders>
        <w:shd w:val="clear" w:color="auto" w:fill="FDE4D0" w:themeFill="accent6" w:themeFillTint="3F"/>
      </w:tcPr>
    </w:tblStylePr>
    <w:tblStylePr w:type="firstCol">
      <w:tblPr/>
      <w:tcPr>
        <w:tcBorders>
          <w:top w:val="nil" w:sz="0"/>
          <w:start w:val="nil" w:sz="0"/>
          <w:bottom w:val="nil" w:sz="0"/>
          <w:end w:val="single" w:color="F79646" w:themeColor="accent6" w:sz="8" w:space="0"/>
          <w:insideH w:val="nil" w:sz="0"/>
          <w:insideV w:val="nil" w:sz="0"/>
        </w:tcBorders>
        <w:shd w:val="clear" w:color="auto" w:fill="FFFFFF" w:themeFill="background1"/>
      </w:tcPr>
    </w:tblStylePr>
    <w:tblStylePr w:type="firstRow">
      <w:rPr>
        <w:sz w:val="24"/>
        <w:szCs w:val="24"/>
      </w:rPr>
      <w:tblPr/>
      <w:tcPr>
        <w:tcBorders>
          <w:top w:val="nil" w:sz="0"/>
          <w:start w:val="nil" w:sz="0"/>
          <w:bottom w:val="single" w:color="F79646" w:themeColor="accent6" w:sz="24" w:space="0"/>
          <w:end w:val="nil" w:sz="0"/>
          <w:insideH w:val="nil" w:sz="0"/>
          <w:insideV w:val="nil" w:sz="0"/>
        </w:tcBorders>
        <w:shd w:val="clear" w:color="auto" w:fill="FFFFFF" w:themeFill="background1"/>
      </w:tcPr>
    </w:tblStylePr>
    <w:tblStylePr w:type="lastCol">
      <w:tblPr/>
      <w:tcPr>
        <w:tcBorders>
          <w:top w:val="nil" w:sz="0"/>
          <w:start w:val="single" w:color="F79646" w:themeColor="accent6" w:sz="8" w:space="0"/>
          <w:bottom w:val="nil" w:sz="0"/>
          <w:end w:val="nil" w:sz="0"/>
          <w:insideH w:val="nil" w:sz="0"/>
          <w:insideV w:val="nil" w:sz="0"/>
        </w:tcBorders>
        <w:shd w:val="clear" w:color="auto" w:fill="FFFFFF" w:themeFill="background1"/>
      </w:tcPr>
    </w:tblStylePr>
    <w:tblStylePr w:type="lastRow">
      <w:tblPr/>
      <w:tcPr>
        <w:tcBorders>
          <w:top w:val="single" w:color="F79646" w:themeColor="accent6" w:sz="8" w:space="0"/>
          <w:start w:val="nil" w:sz="0"/>
          <w:bottom w:val="nil" w:sz="0"/>
          <w:end w:val="nil" w:sz="0"/>
          <w:insideH w:val="nil" w:sz="0"/>
          <w:insideV w:val="nil" w:sz="0"/>
        </w:tcBorders>
        <w:shd w:val="clear" w:color="auto" w:fill="FFFFFF" w:themeFill="background1"/>
      </w:tcPr>
    </w:tblStylePr>
    <w:tblStylePr w:type="nwCell">
      <w:tblPr/>
      <w:tcPr>
        <w:shd w:val="clear" w:color="auto" w:fill="FFFFFF" w:themeFill="background1"/>
      </w:tcPr>
    </w:tblStylePr>
    <w:tblStylePr w:type="swCell">
      <w:tblPr/>
      <w:tcPr>
        <w:tcBorders>
          <w:top w:val="nil" w:sz="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start w:w="108" w:type="dxa"/>
        <w:bottom w:w="0" w:type="dxa"/>
        <w:end w:w="108" w:type="dxa"/>
      </w:tblCellMar>
    </w:tblPr>
    <w:tblStylePr w:type="band1Horz">
      <w:tblPr/>
      <w:tcPr>
        <w:tcBorders>
          <w:insideH w:val="nil" w:sz="0"/>
          <w:insideV w:val="nil" w:sz="0"/>
        </w:tcBorders>
        <w:shd w:val="clear" w:color="auto" w:fill="C0C0C0" w:themeFill="text1" w:themeFillTint="3F"/>
      </w:tcPr>
    </w:tblStylePr>
    <w:tblStylePr w:type="band1Vert">
      <w:tblPr/>
      <w:tcPr>
        <w:shd w:val="clear" w:color="auto" w:fill="C0C0C0" w:themeFill="text1" w:themeFillTint="3F"/>
      </w:tcPr>
    </w:tblStylePr>
    <w:tblStylePr w:type="band2Horz">
      <w:tblPr/>
      <w:tcPr>
        <w:tcBorders>
          <w:insideH w:val="nil" w:sz="0"/>
          <w:insideV w:val="nil" w:sz="0"/>
        </w:tcBorders>
      </w:tcPr>
    </w:tblStylePr>
    <w:tblStylePr w:type="firstCol">
      <w:rPr>
        <w:b w:val="1"/>
        <w:bCs w:val="1"/>
      </w:rPr>
    </w:tblStylePr>
    <w:tblStylePr w:type="firstRow">
      <w:pPr>
        <w:spacing w:before="0" w:after="0" w:line="240" w:lineRule="auto"/>
      </w:pPr>
      <w:rPr>
        <w:color w:val="FFFFFF" w:themeColor="background1"/>
        <w:b w:val="1"/>
        <w:bCs w:val="1"/>
      </w:rPr>
      <w:tblPr/>
      <w:tcPr>
        <w:tcBorders>
          <w:top w:val="single" w:color="404040" w:themeColor="text1" w:themeTint="BF" w:sz="8" w:space="0"/>
          <w:start w:val="single" w:color="404040" w:themeColor="text1" w:themeTint="BF" w:sz="8" w:space="0"/>
          <w:bottom w:val="single" w:color="404040" w:themeColor="text1" w:themeTint="BF" w:sz="8" w:space="0"/>
          <w:end w:val="single" w:color="404040" w:themeColor="text1" w:themeTint="BF" w:sz="8" w:space="0"/>
          <w:insideH w:val="nil" w:sz="0"/>
          <w:insideV w:val="nil" w:sz="0"/>
        </w:tcBorders>
        <w:shd w:val="clear" w:color="auto" w:fill="000000" w:themeFill="text1"/>
      </w:tcPr>
    </w:tblStylePr>
    <w:tblStylePr w:type="lastCol">
      <w:rPr>
        <w:b w:val="1"/>
        <w:bCs w:val="1"/>
      </w:rPr>
    </w:tblStylePr>
    <w:tblStylePr w:type="lastRow">
      <w:pPr>
        <w:spacing w:before="0" w:after="0" w:line="240" w:lineRule="auto"/>
      </w:pPr>
      <w:rPr>
        <w:b w:val="1"/>
        <w:bCs w:val="1"/>
      </w:rPr>
      <w:tblPr/>
      <w:tcPr>
        <w:tcBorders>
          <w:top w:val="double" w:color="404040" w:themeColor="text1" w:themeTint="BF" w:sz="6" w:space="0"/>
          <w:start w:val="single" w:color="404040" w:themeColor="text1" w:themeTint="BF" w:sz="8" w:space="0"/>
          <w:bottom w:val="single" w:color="404040" w:themeColor="text1" w:themeTint="BF" w:sz="8" w:space="0"/>
          <w:end w:val="single" w:color="404040" w:themeColor="text1" w:themeTint="BF" w:sz="8" w:space="0"/>
          <w:insideH w:val="nil" w:sz="0"/>
          <w:insideV w:val="nil" w:sz="0"/>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start w:w="108" w:type="dxa"/>
        <w:bottom w:w="0" w:type="dxa"/>
        <w:end w:w="108" w:type="dxa"/>
      </w:tblCellMar>
    </w:tblPr>
    <w:tblStylePr w:type="band1Horz">
      <w:tblPr/>
      <w:tcPr>
        <w:tcBorders>
          <w:insideH w:val="nil" w:sz="0"/>
          <w:insideV w:val="nil" w:sz="0"/>
        </w:tcBorders>
        <w:shd w:val="clear" w:color="auto" w:fill="D3DFEE" w:themeFill="accent1" w:themeFillTint="3F"/>
      </w:tcPr>
    </w:tblStylePr>
    <w:tblStylePr w:type="band1Vert">
      <w:tblPr/>
      <w:tcPr>
        <w:shd w:val="clear" w:color="auto" w:fill="D3DFEE" w:themeFill="accent1" w:themeFillTint="3F"/>
      </w:tcPr>
    </w:tblStylePr>
    <w:tblStylePr w:type="band2Horz">
      <w:tblPr/>
      <w:tcPr>
        <w:tcBorders>
          <w:insideH w:val="nil" w:sz="0"/>
          <w:insideV w:val="nil" w:sz="0"/>
        </w:tcBorders>
      </w:tcPr>
    </w:tblStylePr>
    <w:tblStylePr w:type="firstCol">
      <w:rPr>
        <w:b w:val="1"/>
        <w:bCs w:val="1"/>
      </w:rPr>
    </w:tblStylePr>
    <w:tblStylePr w:type="firstRow">
      <w:pPr>
        <w:spacing w:before="0" w:after="0" w:line="240" w:lineRule="auto"/>
      </w:pPr>
      <w:rPr>
        <w:color w:val="FFFFFF" w:themeColor="background1"/>
        <w:b w:val="1"/>
        <w:bCs w:val="1"/>
      </w:rPr>
      <w:tblPr/>
      <w:tcPr>
        <w:tcBorders>
          <w:top w:val="single" w:color="7BA0CD" w:themeColor="accent1" w:themeTint="BF" w:sz="8" w:space="0"/>
          <w:start w:val="single" w:color="7BA0CD" w:themeColor="accent1" w:themeTint="BF" w:sz="8" w:space="0"/>
          <w:bottom w:val="single" w:color="7BA0CD" w:themeColor="accent1" w:themeTint="BF" w:sz="8" w:space="0"/>
          <w:end w:val="single" w:color="7BA0CD" w:themeColor="accent1" w:themeTint="BF" w:sz="8" w:space="0"/>
          <w:insideH w:val="nil" w:sz="0"/>
          <w:insideV w:val="nil" w:sz="0"/>
        </w:tcBorders>
        <w:shd w:val="clear" w:color="auto" w:fill="4F81BD" w:themeFill="accent1"/>
      </w:tcPr>
    </w:tblStylePr>
    <w:tblStylePr w:type="lastCol">
      <w:rPr>
        <w:b w:val="1"/>
        <w:bCs w:val="1"/>
      </w:rPr>
    </w:tblStylePr>
    <w:tblStylePr w:type="lastRow">
      <w:pPr>
        <w:spacing w:before="0" w:after="0" w:line="240" w:lineRule="auto"/>
      </w:pPr>
      <w:rPr>
        <w:b w:val="1"/>
        <w:bCs w:val="1"/>
      </w:rPr>
      <w:tblPr/>
      <w:tcPr>
        <w:tcBorders>
          <w:top w:val="double" w:color="7BA0CD" w:themeColor="accent1" w:themeTint="BF" w:sz="6" w:space="0"/>
          <w:start w:val="single" w:color="7BA0CD" w:themeColor="accent1" w:themeTint="BF" w:sz="8" w:space="0"/>
          <w:bottom w:val="single" w:color="7BA0CD" w:themeColor="accent1" w:themeTint="BF" w:sz="8" w:space="0"/>
          <w:end w:val="single" w:color="7BA0CD" w:themeColor="accent1" w:themeTint="BF" w:sz="8" w:space="0"/>
          <w:insideH w:val="nil" w:sz="0"/>
          <w:insideV w:val="nil" w:sz="0"/>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start w:w="108" w:type="dxa"/>
        <w:bottom w:w="0" w:type="dxa"/>
        <w:end w:w="108" w:type="dxa"/>
      </w:tblCellMar>
    </w:tblPr>
    <w:tblStylePr w:type="band1Horz">
      <w:tblPr/>
      <w:tcPr>
        <w:tcBorders>
          <w:insideH w:val="nil" w:sz="0"/>
          <w:insideV w:val="nil" w:sz="0"/>
        </w:tcBorders>
        <w:shd w:val="clear" w:color="auto" w:fill="EFD3D2" w:themeFill="accent2" w:themeFillTint="3F"/>
      </w:tcPr>
    </w:tblStylePr>
    <w:tblStylePr w:type="band1Vert">
      <w:tblPr/>
      <w:tcPr>
        <w:shd w:val="clear" w:color="auto" w:fill="EFD3D2" w:themeFill="accent2" w:themeFillTint="3F"/>
      </w:tcPr>
    </w:tblStylePr>
    <w:tblStylePr w:type="band2Horz">
      <w:tblPr/>
      <w:tcPr>
        <w:tcBorders>
          <w:insideH w:val="nil" w:sz="0"/>
          <w:insideV w:val="nil" w:sz="0"/>
        </w:tcBorders>
      </w:tcPr>
    </w:tblStylePr>
    <w:tblStylePr w:type="firstCol">
      <w:rPr>
        <w:b w:val="1"/>
        <w:bCs w:val="1"/>
      </w:rPr>
    </w:tblStylePr>
    <w:tblStylePr w:type="firstRow">
      <w:pPr>
        <w:spacing w:before="0" w:after="0" w:line="240" w:lineRule="auto"/>
      </w:pPr>
      <w:rPr>
        <w:color w:val="FFFFFF" w:themeColor="background1"/>
        <w:b w:val="1"/>
        <w:bCs w:val="1"/>
      </w:rPr>
      <w:tblPr/>
      <w:tcPr>
        <w:tcBorders>
          <w:top w:val="single" w:color="CF7B79" w:themeColor="accent2" w:themeTint="BF" w:sz="8" w:space="0"/>
          <w:start w:val="single" w:color="CF7B79" w:themeColor="accent2" w:themeTint="BF" w:sz="8" w:space="0"/>
          <w:bottom w:val="single" w:color="CF7B79" w:themeColor="accent2" w:themeTint="BF" w:sz="8" w:space="0"/>
          <w:end w:val="single" w:color="CF7B79" w:themeColor="accent2" w:themeTint="BF" w:sz="8" w:space="0"/>
          <w:insideH w:val="nil" w:sz="0"/>
          <w:insideV w:val="nil" w:sz="0"/>
        </w:tcBorders>
        <w:shd w:val="clear" w:color="auto" w:fill="C0504D" w:themeFill="accent2"/>
      </w:tcPr>
    </w:tblStylePr>
    <w:tblStylePr w:type="lastCol">
      <w:rPr>
        <w:b w:val="1"/>
        <w:bCs w:val="1"/>
      </w:rPr>
    </w:tblStylePr>
    <w:tblStylePr w:type="lastRow">
      <w:pPr>
        <w:spacing w:before="0" w:after="0" w:line="240" w:lineRule="auto"/>
      </w:pPr>
      <w:rPr>
        <w:b w:val="1"/>
        <w:bCs w:val="1"/>
      </w:rPr>
      <w:tblPr/>
      <w:tcPr>
        <w:tcBorders>
          <w:top w:val="double" w:color="CF7B79" w:themeColor="accent2" w:themeTint="BF" w:sz="6" w:space="0"/>
          <w:start w:val="single" w:color="CF7B79" w:themeColor="accent2" w:themeTint="BF" w:sz="8" w:space="0"/>
          <w:bottom w:val="single" w:color="CF7B79" w:themeColor="accent2" w:themeTint="BF" w:sz="8" w:space="0"/>
          <w:end w:val="single" w:color="CF7B79" w:themeColor="accent2" w:themeTint="BF" w:sz="8" w:space="0"/>
          <w:insideH w:val="nil" w:sz="0"/>
          <w:insideV w:val="nil" w:sz="0"/>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start w:w="108" w:type="dxa"/>
        <w:bottom w:w="0" w:type="dxa"/>
        <w:end w:w="108" w:type="dxa"/>
      </w:tblCellMar>
    </w:tblPr>
    <w:tblStylePr w:type="band1Horz">
      <w:tblPr/>
      <w:tcPr>
        <w:tcBorders>
          <w:insideH w:val="nil" w:sz="0"/>
          <w:insideV w:val="nil" w:sz="0"/>
        </w:tcBorders>
        <w:shd w:val="clear" w:color="auto" w:fill="E6EED5" w:themeFill="accent3" w:themeFillTint="3F"/>
      </w:tcPr>
    </w:tblStylePr>
    <w:tblStylePr w:type="band1Vert">
      <w:tblPr/>
      <w:tcPr>
        <w:shd w:val="clear" w:color="auto" w:fill="E6EED5" w:themeFill="accent3" w:themeFillTint="3F"/>
      </w:tcPr>
    </w:tblStylePr>
    <w:tblStylePr w:type="band2Horz">
      <w:tblPr/>
      <w:tcPr>
        <w:tcBorders>
          <w:insideH w:val="nil" w:sz="0"/>
          <w:insideV w:val="nil" w:sz="0"/>
        </w:tcBorders>
      </w:tcPr>
    </w:tblStylePr>
    <w:tblStylePr w:type="firstCol">
      <w:rPr>
        <w:b w:val="1"/>
        <w:bCs w:val="1"/>
      </w:rPr>
    </w:tblStylePr>
    <w:tblStylePr w:type="firstRow">
      <w:pPr>
        <w:spacing w:before="0" w:after="0" w:line="240" w:lineRule="auto"/>
      </w:pPr>
      <w:rPr>
        <w:color w:val="FFFFFF" w:themeColor="background1"/>
        <w:b w:val="1"/>
        <w:bCs w:val="1"/>
      </w:rPr>
      <w:tblPr/>
      <w:tcPr>
        <w:tcBorders>
          <w:top w:val="single" w:color="B3CC82" w:themeColor="accent3" w:themeTint="BF" w:sz="8" w:space="0"/>
          <w:start w:val="single" w:color="B3CC82" w:themeColor="accent3" w:themeTint="BF" w:sz="8" w:space="0"/>
          <w:bottom w:val="single" w:color="B3CC82" w:themeColor="accent3" w:themeTint="BF" w:sz="8" w:space="0"/>
          <w:end w:val="single" w:color="B3CC82" w:themeColor="accent3" w:themeTint="BF" w:sz="8" w:space="0"/>
          <w:insideH w:val="nil" w:sz="0"/>
          <w:insideV w:val="nil" w:sz="0"/>
        </w:tcBorders>
        <w:shd w:val="clear" w:color="auto" w:fill="9BBB59" w:themeFill="accent3"/>
      </w:tcPr>
    </w:tblStylePr>
    <w:tblStylePr w:type="lastCol">
      <w:rPr>
        <w:b w:val="1"/>
        <w:bCs w:val="1"/>
      </w:rPr>
    </w:tblStylePr>
    <w:tblStylePr w:type="lastRow">
      <w:pPr>
        <w:spacing w:before="0" w:after="0" w:line="240" w:lineRule="auto"/>
      </w:pPr>
      <w:rPr>
        <w:b w:val="1"/>
        <w:bCs w:val="1"/>
      </w:rPr>
      <w:tblPr/>
      <w:tcPr>
        <w:tcBorders>
          <w:top w:val="double" w:color="B3CC82" w:themeColor="accent3" w:themeTint="BF" w:sz="6" w:space="0"/>
          <w:start w:val="single" w:color="B3CC82" w:themeColor="accent3" w:themeTint="BF" w:sz="8" w:space="0"/>
          <w:bottom w:val="single" w:color="B3CC82" w:themeColor="accent3" w:themeTint="BF" w:sz="8" w:space="0"/>
          <w:end w:val="single" w:color="B3CC82" w:themeColor="accent3" w:themeTint="BF" w:sz="8" w:space="0"/>
          <w:insideH w:val="nil" w:sz="0"/>
          <w:insideV w:val="nil" w:sz="0"/>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start w:w="108" w:type="dxa"/>
        <w:bottom w:w="0" w:type="dxa"/>
        <w:end w:w="108" w:type="dxa"/>
      </w:tblCellMar>
    </w:tblPr>
    <w:tblStylePr w:type="band1Horz">
      <w:tblPr/>
      <w:tcPr>
        <w:tcBorders>
          <w:insideH w:val="nil" w:sz="0"/>
          <w:insideV w:val="nil" w:sz="0"/>
        </w:tcBorders>
        <w:shd w:val="clear" w:color="auto" w:fill="DFD8E8" w:themeFill="accent4" w:themeFillTint="3F"/>
      </w:tcPr>
    </w:tblStylePr>
    <w:tblStylePr w:type="band1Vert">
      <w:tblPr/>
      <w:tcPr>
        <w:shd w:val="clear" w:color="auto" w:fill="DFD8E8" w:themeFill="accent4" w:themeFillTint="3F"/>
      </w:tcPr>
    </w:tblStylePr>
    <w:tblStylePr w:type="band2Horz">
      <w:tblPr/>
      <w:tcPr>
        <w:tcBorders>
          <w:insideH w:val="nil" w:sz="0"/>
          <w:insideV w:val="nil" w:sz="0"/>
        </w:tcBorders>
      </w:tcPr>
    </w:tblStylePr>
    <w:tblStylePr w:type="firstCol">
      <w:rPr>
        <w:b w:val="1"/>
        <w:bCs w:val="1"/>
      </w:rPr>
    </w:tblStylePr>
    <w:tblStylePr w:type="firstRow">
      <w:pPr>
        <w:spacing w:before="0" w:after="0" w:line="240" w:lineRule="auto"/>
      </w:pPr>
      <w:rPr>
        <w:color w:val="FFFFFF" w:themeColor="background1"/>
        <w:b w:val="1"/>
        <w:bCs w:val="1"/>
      </w:rPr>
      <w:tblPr/>
      <w:tcPr>
        <w:tcBorders>
          <w:top w:val="single" w:color="9F8AB9" w:themeColor="accent4" w:themeTint="BF" w:sz="8" w:space="0"/>
          <w:start w:val="single" w:color="9F8AB9" w:themeColor="accent4" w:themeTint="BF" w:sz="8" w:space="0"/>
          <w:bottom w:val="single" w:color="9F8AB9" w:themeColor="accent4" w:themeTint="BF" w:sz="8" w:space="0"/>
          <w:end w:val="single" w:color="9F8AB9" w:themeColor="accent4" w:themeTint="BF" w:sz="8" w:space="0"/>
          <w:insideH w:val="nil" w:sz="0"/>
          <w:insideV w:val="nil" w:sz="0"/>
        </w:tcBorders>
        <w:shd w:val="clear" w:color="auto" w:fill="8064A2" w:themeFill="accent4"/>
      </w:tcPr>
    </w:tblStylePr>
    <w:tblStylePr w:type="lastCol">
      <w:rPr>
        <w:b w:val="1"/>
        <w:bCs w:val="1"/>
      </w:rPr>
    </w:tblStylePr>
    <w:tblStylePr w:type="lastRow">
      <w:pPr>
        <w:spacing w:before="0" w:after="0" w:line="240" w:lineRule="auto"/>
      </w:pPr>
      <w:rPr>
        <w:b w:val="1"/>
        <w:bCs w:val="1"/>
      </w:rPr>
      <w:tblPr/>
      <w:tcPr>
        <w:tcBorders>
          <w:top w:val="double" w:color="9F8AB9" w:themeColor="accent4" w:themeTint="BF" w:sz="6" w:space="0"/>
          <w:start w:val="single" w:color="9F8AB9" w:themeColor="accent4" w:themeTint="BF" w:sz="8" w:space="0"/>
          <w:bottom w:val="single" w:color="9F8AB9" w:themeColor="accent4" w:themeTint="BF" w:sz="8" w:space="0"/>
          <w:end w:val="single" w:color="9F8AB9" w:themeColor="accent4" w:themeTint="BF" w:sz="8" w:space="0"/>
          <w:insideH w:val="nil" w:sz="0"/>
          <w:insideV w:val="nil" w:sz="0"/>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start w:w="108" w:type="dxa"/>
        <w:bottom w:w="0" w:type="dxa"/>
        <w:end w:w="108" w:type="dxa"/>
      </w:tblCellMar>
    </w:tblPr>
    <w:tblStylePr w:type="band1Horz">
      <w:tblPr/>
      <w:tcPr>
        <w:tcBorders>
          <w:insideH w:val="nil" w:sz="0"/>
          <w:insideV w:val="nil" w:sz="0"/>
        </w:tcBorders>
        <w:shd w:val="clear" w:color="auto" w:fill="D2EAF1" w:themeFill="accent5" w:themeFillTint="3F"/>
      </w:tcPr>
    </w:tblStylePr>
    <w:tblStylePr w:type="band1Vert">
      <w:tblPr/>
      <w:tcPr>
        <w:shd w:val="clear" w:color="auto" w:fill="D2EAF1" w:themeFill="accent5" w:themeFillTint="3F"/>
      </w:tcPr>
    </w:tblStylePr>
    <w:tblStylePr w:type="band2Horz">
      <w:tblPr/>
      <w:tcPr>
        <w:tcBorders>
          <w:insideH w:val="nil" w:sz="0"/>
          <w:insideV w:val="nil" w:sz="0"/>
        </w:tcBorders>
      </w:tcPr>
    </w:tblStylePr>
    <w:tblStylePr w:type="firstCol">
      <w:rPr>
        <w:b w:val="1"/>
        <w:bCs w:val="1"/>
      </w:rPr>
    </w:tblStylePr>
    <w:tblStylePr w:type="firstRow">
      <w:pPr>
        <w:spacing w:before="0" w:after="0" w:line="240" w:lineRule="auto"/>
      </w:pPr>
      <w:rPr>
        <w:color w:val="FFFFFF" w:themeColor="background1"/>
        <w:b w:val="1"/>
        <w:bCs w:val="1"/>
      </w:rPr>
      <w:tblPr/>
      <w:tcPr>
        <w:tcBorders>
          <w:top w:val="single" w:color="78C0D4" w:themeColor="accent5" w:themeTint="BF" w:sz="8" w:space="0"/>
          <w:start w:val="single" w:color="78C0D4" w:themeColor="accent5" w:themeTint="BF" w:sz="8" w:space="0"/>
          <w:bottom w:val="single" w:color="78C0D4" w:themeColor="accent5" w:themeTint="BF" w:sz="8" w:space="0"/>
          <w:end w:val="single" w:color="78C0D4" w:themeColor="accent5" w:themeTint="BF" w:sz="8" w:space="0"/>
          <w:insideH w:val="nil" w:sz="0"/>
          <w:insideV w:val="nil" w:sz="0"/>
        </w:tcBorders>
        <w:shd w:val="clear" w:color="auto" w:fill="4BACC6" w:themeFill="accent5"/>
      </w:tcPr>
    </w:tblStylePr>
    <w:tblStylePr w:type="lastCol">
      <w:rPr>
        <w:b w:val="1"/>
        <w:bCs w:val="1"/>
      </w:rPr>
    </w:tblStylePr>
    <w:tblStylePr w:type="lastRow">
      <w:pPr>
        <w:spacing w:before="0" w:after="0" w:line="240" w:lineRule="auto"/>
      </w:pPr>
      <w:rPr>
        <w:b w:val="1"/>
        <w:bCs w:val="1"/>
      </w:rPr>
      <w:tblPr/>
      <w:tcPr>
        <w:tcBorders>
          <w:top w:val="double" w:color="78C0D4" w:themeColor="accent5" w:themeTint="BF" w:sz="6" w:space="0"/>
          <w:start w:val="single" w:color="78C0D4" w:themeColor="accent5" w:themeTint="BF" w:sz="8" w:space="0"/>
          <w:bottom w:val="single" w:color="78C0D4" w:themeColor="accent5" w:themeTint="BF" w:sz="8" w:space="0"/>
          <w:end w:val="single" w:color="78C0D4" w:themeColor="accent5" w:themeTint="BF" w:sz="8" w:space="0"/>
          <w:insideH w:val="nil" w:sz="0"/>
          <w:insideV w:val="nil" w:sz="0"/>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start w:w="108" w:type="dxa"/>
        <w:bottom w:w="0" w:type="dxa"/>
        <w:end w:w="108" w:type="dxa"/>
      </w:tblCellMar>
    </w:tblPr>
    <w:tblStylePr w:type="band1Horz">
      <w:tblPr/>
      <w:tcPr>
        <w:tcBorders>
          <w:insideH w:val="nil" w:sz="0"/>
          <w:insideV w:val="nil" w:sz="0"/>
        </w:tcBorders>
        <w:shd w:val="clear" w:color="auto" w:fill="FDE4D0" w:themeFill="accent6" w:themeFillTint="3F"/>
      </w:tcPr>
    </w:tblStylePr>
    <w:tblStylePr w:type="band1Vert">
      <w:tblPr/>
      <w:tcPr>
        <w:shd w:val="clear" w:color="auto" w:fill="FDE4D0" w:themeFill="accent6" w:themeFillTint="3F"/>
      </w:tcPr>
    </w:tblStylePr>
    <w:tblStylePr w:type="band2Horz">
      <w:tblPr/>
      <w:tcPr>
        <w:tcBorders>
          <w:insideH w:val="nil" w:sz="0"/>
          <w:insideV w:val="nil" w:sz="0"/>
        </w:tcBorders>
      </w:tcPr>
    </w:tblStylePr>
    <w:tblStylePr w:type="firstCol">
      <w:rPr>
        <w:b w:val="1"/>
        <w:bCs w:val="1"/>
      </w:rPr>
    </w:tblStylePr>
    <w:tblStylePr w:type="firstRow">
      <w:pPr>
        <w:spacing w:before="0" w:after="0" w:line="240" w:lineRule="auto"/>
      </w:pPr>
      <w:rPr>
        <w:color w:val="FFFFFF" w:themeColor="background1"/>
        <w:b w:val="1"/>
        <w:bCs w:val="1"/>
      </w:rPr>
      <w:tblPr/>
      <w:tcPr>
        <w:tcBorders>
          <w:top w:val="single" w:color="F9B074" w:themeColor="accent6" w:themeTint="BF" w:sz="8" w:space="0"/>
          <w:start w:val="single" w:color="F9B074" w:themeColor="accent6" w:themeTint="BF" w:sz="8" w:space="0"/>
          <w:bottom w:val="single" w:color="F9B074" w:themeColor="accent6" w:themeTint="BF" w:sz="8" w:space="0"/>
          <w:end w:val="single" w:color="F9B074" w:themeColor="accent6" w:themeTint="BF" w:sz="8" w:space="0"/>
          <w:insideH w:val="nil" w:sz="0"/>
          <w:insideV w:val="nil" w:sz="0"/>
        </w:tcBorders>
        <w:shd w:val="clear" w:color="auto" w:fill="F79646" w:themeFill="accent6"/>
      </w:tcPr>
    </w:tblStylePr>
    <w:tblStylePr w:type="lastCol">
      <w:rPr>
        <w:b w:val="1"/>
        <w:bCs w:val="1"/>
      </w:rPr>
    </w:tblStylePr>
    <w:tblStylePr w:type="lastRow">
      <w:pPr>
        <w:spacing w:before="0" w:after="0" w:line="240" w:lineRule="auto"/>
      </w:pPr>
      <w:rPr>
        <w:b w:val="1"/>
        <w:bCs w:val="1"/>
      </w:rPr>
      <w:tblPr/>
      <w:tcPr>
        <w:tcBorders>
          <w:top w:val="double" w:color="F9B074" w:themeColor="accent6" w:themeTint="BF" w:sz="6" w:space="0"/>
          <w:start w:val="single" w:color="F9B074" w:themeColor="accent6" w:themeTint="BF" w:sz="8" w:space="0"/>
          <w:bottom w:val="single" w:color="F9B074" w:themeColor="accent6" w:themeTint="BF" w:sz="8" w:space="0"/>
          <w:end w:val="single" w:color="F9B074" w:themeColor="accent6" w:themeTint="BF" w:sz="8" w:space="0"/>
          <w:insideH w:val="nil" w:sz="0"/>
          <w:insideV w:val="nil" w:sz="0"/>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start w:w="108" w:type="dxa"/>
        <w:bottom w:w="0" w:type="dxa"/>
        <w:end w:w="108" w:type="dxa"/>
      </w:tblCellMar>
    </w:tblPr>
    <w:tblStylePr w:type="band1Horz">
      <w:tblPr/>
      <w:tcPr>
        <w:shd w:val="clear" w:color="auto" w:fill="D8D8D8" w:themeFill="background1" w:themeFillShade="D8"/>
      </w:tcPr>
    </w:tblStylePr>
    <w:tblStylePr w:type="band1Vert">
      <w:tblPr/>
      <w:tcPr>
        <w:tcBorders>
          <w:start w:val="nil" w:sz="0"/>
          <w:end w:val="nil" w:sz="0"/>
          <w:insideH w:val="nil" w:sz="0"/>
          <w:insideV w:val="nil" w:sz="0"/>
        </w:tcBorders>
        <w:shd w:val="clear" w:color="auto" w:fill="D8D8D8" w:themeFill="background1" w:themeFillShade="D8"/>
      </w:tcPr>
    </w:tblStylePr>
    <w:tblStylePr w:type="firstCol">
      <w:rPr>
        <w:color w:val="FFFFFF" w:themeColor="background1"/>
        <w:b w:val="1"/>
        <w:bCs w:val="1"/>
      </w:rPr>
      <w:tblPr/>
      <w:tcPr>
        <w:tcBorders>
          <w:top w:val="nil" w:sz="0"/>
          <w:start w:val="nil" w:sz="0"/>
          <w:bottom w:val="single" w:color="auto" w:sz="18" w:space="0"/>
          <w:end w:val="nil" w:sz="0"/>
          <w:insideH w:val="nil" w:sz="0"/>
          <w:insideV w:val="nil" w:sz="0"/>
        </w:tcBorders>
        <w:shd w:val="clear" w:color="auto" w:fill="000000" w:themeFill="text1"/>
      </w:tcPr>
    </w:tblStylePr>
    <w:tblStylePr w:type="firstRow">
      <w:pPr>
        <w:spacing w:before="0" w:after="0" w:line="240" w:lineRule="auto"/>
      </w:pPr>
      <w:rPr>
        <w:color w:val="FFFFFF" w:themeColor="background1"/>
        <w:b w:val="1"/>
        <w:bCs w:val="1"/>
      </w:rPr>
      <w:tblPr/>
      <w:tcPr>
        <w:tcBorders>
          <w:top w:val="single" w:color="auto" w:sz="18" w:space="0"/>
          <w:start w:val="nil" w:sz="0"/>
          <w:bottom w:val="single" w:color="auto" w:sz="18" w:space="0"/>
          <w:end w:val="nil" w:sz="0"/>
          <w:insideH w:val="nil" w:sz="0"/>
          <w:insideV w:val="nil" w:sz="0"/>
        </w:tcBorders>
        <w:shd w:val="clear" w:color="auto" w:fill="000000" w:themeFill="text1"/>
      </w:tcPr>
    </w:tblStylePr>
    <w:tblStylePr w:type="lastCol">
      <w:rPr>
        <w:color w:val="FFFFFF" w:themeColor="background1"/>
        <w:b w:val="1"/>
        <w:bCs w:val="1"/>
      </w:rPr>
      <w:tblPr/>
      <w:tcPr>
        <w:tcBorders>
          <w:start w:val="nil" w:sz="0"/>
          <w:end w:val="nil" w:sz="0"/>
          <w:insideH w:val="nil" w:sz="0"/>
          <w:insideV w:val="nil" w:sz="0"/>
        </w:tcBorders>
        <w:shd w:val="clear" w:color="auto" w:fill="000000" w:themeFill="text1"/>
      </w:tcPr>
    </w:tblStylePr>
    <w:tblStylePr w:type="lastRow">
      <w:pPr>
        <w:spacing w:before="0" w:after="0" w:line="240" w:lineRule="auto"/>
      </w:pPr>
      <w:rPr>
        <w:color w:val="auto"/>
      </w:rPr>
      <w:tblPr/>
      <w:tcPr>
        <w:tcBorders>
          <w:top w:val="double" w:color="auto" w:sz="6" w:space="0"/>
          <w:start w:val="nil" w:sz="0"/>
          <w:bottom w:val="single" w:color="auto" w:sz="18" w:space="0"/>
          <w:end w:val="nil" w:sz="0"/>
          <w:insideH w:val="nil" w:sz="0"/>
          <w:insideV w:val="nil" w:sz="0"/>
        </w:tcBorders>
        <w:shd w:val="clear" w:color="auto" w:fill="FFFFFF" w:themeFill="background1"/>
      </w:tcPr>
    </w:tblStylePr>
    <w:tblStylePr w:type="neCell">
      <w:tblPr/>
      <w:tcPr>
        <w:tcBorders>
          <w:top w:val="single" w:color="auto" w:sz="18" w:space="0"/>
          <w:start w:val="nil" w:sz="0"/>
          <w:bottom w:val="single" w:color="auto" w:sz="18" w:space="0"/>
          <w:end w:val="nil" w:sz="0"/>
          <w:insideH w:val="nil" w:sz="0"/>
          <w:insideV w:val="nil" w:sz="0"/>
        </w:tcBorders>
      </w:tcPr>
    </w:tblStylePr>
    <w:tblStylePr w:type="nwCell">
      <w:rPr>
        <w:color w:val="FFFFFF" w:themeColor="background1"/>
      </w:rPr>
      <w:tblPr/>
      <w:tcPr>
        <w:tcBorders>
          <w:top w:val="single" w:color="auto" w:sz="18" w:space="0"/>
          <w:start w:val="nil" w:sz="0"/>
          <w:bottom w:val="single" w:color="auto" w:sz="18" w:space="0"/>
          <w:end w:val="nil" w:sz="0"/>
          <w:insideH w:val="nil" w:sz="0"/>
          <w:insideV w:val="nil" w:sz="0"/>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start w:w="108" w:type="dxa"/>
        <w:bottom w:w="0" w:type="dxa"/>
        <w:end w:w="108" w:type="dxa"/>
      </w:tblCellMar>
    </w:tblPr>
    <w:tblStylePr w:type="band1Horz">
      <w:tblPr/>
      <w:tcPr>
        <w:shd w:val="clear" w:color="auto" w:fill="D8D8D8" w:themeFill="background1" w:themeFillShade="D8"/>
      </w:tcPr>
    </w:tblStylePr>
    <w:tblStylePr w:type="band1Vert">
      <w:tblPr/>
      <w:tcPr>
        <w:tcBorders>
          <w:start w:val="nil" w:sz="0"/>
          <w:end w:val="nil" w:sz="0"/>
          <w:insideH w:val="nil" w:sz="0"/>
          <w:insideV w:val="nil" w:sz="0"/>
        </w:tcBorders>
        <w:shd w:val="clear" w:color="auto" w:fill="D8D8D8" w:themeFill="background1" w:themeFillShade="D8"/>
      </w:tcPr>
    </w:tblStylePr>
    <w:tblStylePr w:type="firstCol">
      <w:rPr>
        <w:color w:val="FFFFFF" w:themeColor="background1"/>
        <w:b w:val="1"/>
        <w:bCs w:val="1"/>
      </w:rPr>
      <w:tblPr/>
      <w:tcPr>
        <w:tcBorders>
          <w:top w:val="nil" w:sz="0"/>
          <w:start w:val="nil" w:sz="0"/>
          <w:bottom w:val="single" w:color="auto" w:sz="18" w:space="0"/>
          <w:end w:val="nil" w:sz="0"/>
          <w:insideH w:val="nil" w:sz="0"/>
          <w:insideV w:val="nil" w:sz="0"/>
        </w:tcBorders>
        <w:shd w:val="clear" w:color="auto" w:fill="4F81BD" w:themeFill="accent1"/>
      </w:tcPr>
    </w:tblStylePr>
    <w:tblStylePr w:type="firstRow">
      <w:pPr>
        <w:spacing w:before="0" w:after="0" w:line="240" w:lineRule="auto"/>
      </w:pPr>
      <w:rPr>
        <w:color w:val="FFFFFF" w:themeColor="background1"/>
        <w:b w:val="1"/>
        <w:bCs w:val="1"/>
      </w:rPr>
      <w:tblPr/>
      <w:tcPr>
        <w:tcBorders>
          <w:top w:val="single" w:color="auto" w:sz="18" w:space="0"/>
          <w:start w:val="nil" w:sz="0"/>
          <w:bottom w:val="single" w:color="auto" w:sz="18" w:space="0"/>
          <w:end w:val="nil" w:sz="0"/>
          <w:insideH w:val="nil" w:sz="0"/>
          <w:insideV w:val="nil" w:sz="0"/>
        </w:tcBorders>
        <w:shd w:val="clear" w:color="auto" w:fill="4F81BD" w:themeFill="accent1"/>
      </w:tcPr>
    </w:tblStylePr>
    <w:tblStylePr w:type="lastCol">
      <w:rPr>
        <w:color w:val="FFFFFF" w:themeColor="background1"/>
        <w:b w:val="1"/>
        <w:bCs w:val="1"/>
      </w:rPr>
      <w:tblPr/>
      <w:tcPr>
        <w:tcBorders>
          <w:start w:val="nil" w:sz="0"/>
          <w:end w:val="nil" w:sz="0"/>
          <w:insideH w:val="nil" w:sz="0"/>
          <w:insideV w:val="nil" w:sz="0"/>
        </w:tcBorders>
        <w:shd w:val="clear" w:color="auto" w:fill="4F81BD" w:themeFill="accent1"/>
      </w:tcPr>
    </w:tblStylePr>
    <w:tblStylePr w:type="lastRow">
      <w:pPr>
        <w:spacing w:before="0" w:after="0" w:line="240" w:lineRule="auto"/>
      </w:pPr>
      <w:rPr>
        <w:color w:val="auto"/>
      </w:rPr>
      <w:tblPr/>
      <w:tcPr>
        <w:tcBorders>
          <w:top w:val="double" w:color="auto" w:sz="6" w:space="0"/>
          <w:start w:val="nil" w:sz="0"/>
          <w:bottom w:val="single" w:color="auto" w:sz="18" w:space="0"/>
          <w:end w:val="nil" w:sz="0"/>
          <w:insideH w:val="nil" w:sz="0"/>
          <w:insideV w:val="nil" w:sz="0"/>
        </w:tcBorders>
        <w:shd w:val="clear" w:color="auto" w:fill="FFFFFF" w:themeFill="background1"/>
      </w:tcPr>
    </w:tblStylePr>
    <w:tblStylePr w:type="neCell">
      <w:tblPr/>
      <w:tcPr>
        <w:tcBorders>
          <w:top w:val="single" w:color="auto" w:sz="18" w:space="0"/>
          <w:start w:val="nil" w:sz="0"/>
          <w:bottom w:val="single" w:color="auto" w:sz="18" w:space="0"/>
          <w:end w:val="nil" w:sz="0"/>
          <w:insideH w:val="nil" w:sz="0"/>
          <w:insideV w:val="nil" w:sz="0"/>
        </w:tcBorders>
      </w:tcPr>
    </w:tblStylePr>
    <w:tblStylePr w:type="nwCell">
      <w:rPr>
        <w:color w:val="FFFFFF" w:themeColor="background1"/>
      </w:rPr>
      <w:tblPr/>
      <w:tcPr>
        <w:tcBorders>
          <w:top w:val="single" w:color="auto" w:sz="18" w:space="0"/>
          <w:start w:val="nil" w:sz="0"/>
          <w:bottom w:val="single" w:color="auto" w:sz="18" w:space="0"/>
          <w:end w:val="nil" w:sz="0"/>
          <w:insideH w:val="nil" w:sz="0"/>
          <w:insideV w:val="nil" w:sz="0"/>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start w:w="108" w:type="dxa"/>
        <w:bottom w:w="0" w:type="dxa"/>
        <w:end w:w="108" w:type="dxa"/>
      </w:tblCellMar>
    </w:tblPr>
    <w:tblStylePr w:type="band1Horz">
      <w:tblPr/>
      <w:tcPr>
        <w:shd w:val="clear" w:color="auto" w:fill="D8D8D8" w:themeFill="background1" w:themeFillShade="D8"/>
      </w:tcPr>
    </w:tblStylePr>
    <w:tblStylePr w:type="band1Vert">
      <w:tblPr/>
      <w:tcPr>
        <w:tcBorders>
          <w:start w:val="nil" w:sz="0"/>
          <w:end w:val="nil" w:sz="0"/>
          <w:insideH w:val="nil" w:sz="0"/>
          <w:insideV w:val="nil" w:sz="0"/>
        </w:tcBorders>
        <w:shd w:val="clear" w:color="auto" w:fill="D8D8D8" w:themeFill="background1" w:themeFillShade="D8"/>
      </w:tcPr>
    </w:tblStylePr>
    <w:tblStylePr w:type="firstCol">
      <w:rPr>
        <w:color w:val="FFFFFF" w:themeColor="background1"/>
        <w:b w:val="1"/>
        <w:bCs w:val="1"/>
      </w:rPr>
      <w:tblPr/>
      <w:tcPr>
        <w:tcBorders>
          <w:top w:val="nil" w:sz="0"/>
          <w:start w:val="nil" w:sz="0"/>
          <w:bottom w:val="single" w:color="auto" w:sz="18" w:space="0"/>
          <w:end w:val="nil" w:sz="0"/>
          <w:insideH w:val="nil" w:sz="0"/>
          <w:insideV w:val="nil" w:sz="0"/>
        </w:tcBorders>
        <w:shd w:val="clear" w:color="auto" w:fill="C0504D" w:themeFill="accent2"/>
      </w:tcPr>
    </w:tblStylePr>
    <w:tblStylePr w:type="firstRow">
      <w:pPr>
        <w:spacing w:before="0" w:after="0" w:line="240" w:lineRule="auto"/>
      </w:pPr>
      <w:rPr>
        <w:color w:val="FFFFFF" w:themeColor="background1"/>
        <w:b w:val="1"/>
        <w:bCs w:val="1"/>
      </w:rPr>
      <w:tblPr/>
      <w:tcPr>
        <w:tcBorders>
          <w:top w:val="single" w:color="auto" w:sz="18" w:space="0"/>
          <w:start w:val="nil" w:sz="0"/>
          <w:bottom w:val="single" w:color="auto" w:sz="18" w:space="0"/>
          <w:end w:val="nil" w:sz="0"/>
          <w:insideH w:val="nil" w:sz="0"/>
          <w:insideV w:val="nil" w:sz="0"/>
        </w:tcBorders>
        <w:shd w:val="clear" w:color="auto" w:fill="C0504D" w:themeFill="accent2"/>
      </w:tcPr>
    </w:tblStylePr>
    <w:tblStylePr w:type="lastCol">
      <w:rPr>
        <w:color w:val="FFFFFF" w:themeColor="background1"/>
        <w:b w:val="1"/>
        <w:bCs w:val="1"/>
      </w:rPr>
      <w:tblPr/>
      <w:tcPr>
        <w:tcBorders>
          <w:start w:val="nil" w:sz="0"/>
          <w:end w:val="nil" w:sz="0"/>
          <w:insideH w:val="nil" w:sz="0"/>
          <w:insideV w:val="nil" w:sz="0"/>
        </w:tcBorders>
        <w:shd w:val="clear" w:color="auto" w:fill="C0504D" w:themeFill="accent2"/>
      </w:tcPr>
    </w:tblStylePr>
    <w:tblStylePr w:type="lastRow">
      <w:pPr>
        <w:spacing w:before="0" w:after="0" w:line="240" w:lineRule="auto"/>
      </w:pPr>
      <w:rPr>
        <w:color w:val="auto"/>
      </w:rPr>
      <w:tblPr/>
      <w:tcPr>
        <w:tcBorders>
          <w:top w:val="double" w:color="auto" w:sz="6" w:space="0"/>
          <w:start w:val="nil" w:sz="0"/>
          <w:bottom w:val="single" w:color="auto" w:sz="18" w:space="0"/>
          <w:end w:val="nil" w:sz="0"/>
          <w:insideH w:val="nil" w:sz="0"/>
          <w:insideV w:val="nil" w:sz="0"/>
        </w:tcBorders>
        <w:shd w:val="clear" w:color="auto" w:fill="FFFFFF" w:themeFill="background1"/>
      </w:tcPr>
    </w:tblStylePr>
    <w:tblStylePr w:type="neCell">
      <w:tblPr/>
      <w:tcPr>
        <w:tcBorders>
          <w:top w:val="single" w:color="auto" w:sz="18" w:space="0"/>
          <w:start w:val="nil" w:sz="0"/>
          <w:bottom w:val="single" w:color="auto" w:sz="18" w:space="0"/>
          <w:end w:val="nil" w:sz="0"/>
          <w:insideH w:val="nil" w:sz="0"/>
          <w:insideV w:val="nil" w:sz="0"/>
        </w:tcBorders>
      </w:tcPr>
    </w:tblStylePr>
    <w:tblStylePr w:type="nwCell">
      <w:rPr>
        <w:color w:val="FFFFFF" w:themeColor="background1"/>
      </w:rPr>
      <w:tblPr/>
      <w:tcPr>
        <w:tcBorders>
          <w:top w:val="single" w:color="auto" w:sz="18" w:space="0"/>
          <w:start w:val="nil" w:sz="0"/>
          <w:bottom w:val="single" w:color="auto" w:sz="18" w:space="0"/>
          <w:end w:val="nil" w:sz="0"/>
          <w:insideH w:val="nil" w:sz="0"/>
          <w:insideV w:val="nil" w:sz="0"/>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start w:w="108" w:type="dxa"/>
        <w:bottom w:w="0" w:type="dxa"/>
        <w:end w:w="108" w:type="dxa"/>
      </w:tblCellMar>
    </w:tblPr>
    <w:tblStylePr w:type="band1Horz">
      <w:tblPr/>
      <w:tcPr>
        <w:shd w:val="clear" w:color="auto" w:fill="D8D8D8" w:themeFill="background1" w:themeFillShade="D8"/>
      </w:tcPr>
    </w:tblStylePr>
    <w:tblStylePr w:type="band1Vert">
      <w:tblPr/>
      <w:tcPr>
        <w:tcBorders>
          <w:start w:val="nil" w:sz="0"/>
          <w:end w:val="nil" w:sz="0"/>
          <w:insideH w:val="nil" w:sz="0"/>
          <w:insideV w:val="nil" w:sz="0"/>
        </w:tcBorders>
        <w:shd w:val="clear" w:color="auto" w:fill="D8D8D8" w:themeFill="background1" w:themeFillShade="D8"/>
      </w:tcPr>
    </w:tblStylePr>
    <w:tblStylePr w:type="firstCol">
      <w:rPr>
        <w:color w:val="FFFFFF" w:themeColor="background1"/>
        <w:b w:val="1"/>
        <w:bCs w:val="1"/>
      </w:rPr>
      <w:tblPr/>
      <w:tcPr>
        <w:tcBorders>
          <w:top w:val="nil" w:sz="0"/>
          <w:start w:val="nil" w:sz="0"/>
          <w:bottom w:val="single" w:color="auto" w:sz="18" w:space="0"/>
          <w:end w:val="nil" w:sz="0"/>
          <w:insideH w:val="nil" w:sz="0"/>
          <w:insideV w:val="nil" w:sz="0"/>
        </w:tcBorders>
        <w:shd w:val="clear" w:color="auto" w:fill="9BBB59" w:themeFill="accent3"/>
      </w:tcPr>
    </w:tblStylePr>
    <w:tblStylePr w:type="firstRow">
      <w:pPr>
        <w:spacing w:before="0" w:after="0" w:line="240" w:lineRule="auto"/>
      </w:pPr>
      <w:rPr>
        <w:color w:val="FFFFFF" w:themeColor="background1"/>
        <w:b w:val="1"/>
        <w:bCs w:val="1"/>
      </w:rPr>
      <w:tblPr/>
      <w:tcPr>
        <w:tcBorders>
          <w:top w:val="single" w:color="auto" w:sz="18" w:space="0"/>
          <w:start w:val="nil" w:sz="0"/>
          <w:bottom w:val="single" w:color="auto" w:sz="18" w:space="0"/>
          <w:end w:val="nil" w:sz="0"/>
          <w:insideH w:val="nil" w:sz="0"/>
          <w:insideV w:val="nil" w:sz="0"/>
        </w:tcBorders>
        <w:shd w:val="clear" w:color="auto" w:fill="9BBB59" w:themeFill="accent3"/>
      </w:tcPr>
    </w:tblStylePr>
    <w:tblStylePr w:type="lastCol">
      <w:rPr>
        <w:color w:val="FFFFFF" w:themeColor="background1"/>
        <w:b w:val="1"/>
        <w:bCs w:val="1"/>
      </w:rPr>
      <w:tblPr/>
      <w:tcPr>
        <w:tcBorders>
          <w:start w:val="nil" w:sz="0"/>
          <w:end w:val="nil" w:sz="0"/>
          <w:insideH w:val="nil" w:sz="0"/>
          <w:insideV w:val="nil" w:sz="0"/>
        </w:tcBorders>
        <w:shd w:val="clear" w:color="auto" w:fill="9BBB59" w:themeFill="accent3"/>
      </w:tcPr>
    </w:tblStylePr>
    <w:tblStylePr w:type="lastRow">
      <w:pPr>
        <w:spacing w:before="0" w:after="0" w:line="240" w:lineRule="auto"/>
      </w:pPr>
      <w:rPr>
        <w:color w:val="auto"/>
      </w:rPr>
      <w:tblPr/>
      <w:tcPr>
        <w:tcBorders>
          <w:top w:val="double" w:color="auto" w:sz="6" w:space="0"/>
          <w:start w:val="nil" w:sz="0"/>
          <w:bottom w:val="single" w:color="auto" w:sz="18" w:space="0"/>
          <w:end w:val="nil" w:sz="0"/>
          <w:insideH w:val="nil" w:sz="0"/>
          <w:insideV w:val="nil" w:sz="0"/>
        </w:tcBorders>
        <w:shd w:val="clear" w:color="auto" w:fill="FFFFFF" w:themeFill="background1"/>
      </w:tcPr>
    </w:tblStylePr>
    <w:tblStylePr w:type="neCell">
      <w:tblPr/>
      <w:tcPr>
        <w:tcBorders>
          <w:top w:val="single" w:color="auto" w:sz="18" w:space="0"/>
          <w:start w:val="nil" w:sz="0"/>
          <w:bottom w:val="single" w:color="auto" w:sz="18" w:space="0"/>
          <w:end w:val="nil" w:sz="0"/>
          <w:insideH w:val="nil" w:sz="0"/>
          <w:insideV w:val="nil" w:sz="0"/>
        </w:tcBorders>
      </w:tcPr>
    </w:tblStylePr>
    <w:tblStylePr w:type="nwCell">
      <w:rPr>
        <w:color w:val="FFFFFF" w:themeColor="background1"/>
      </w:rPr>
      <w:tblPr/>
      <w:tcPr>
        <w:tcBorders>
          <w:top w:val="single" w:color="auto" w:sz="18" w:space="0"/>
          <w:start w:val="nil" w:sz="0"/>
          <w:bottom w:val="single" w:color="auto" w:sz="18" w:space="0"/>
          <w:end w:val="nil" w:sz="0"/>
          <w:insideH w:val="nil" w:sz="0"/>
          <w:insideV w:val="nil" w:sz="0"/>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start w:w="108" w:type="dxa"/>
        <w:bottom w:w="0" w:type="dxa"/>
        <w:end w:w="108" w:type="dxa"/>
      </w:tblCellMar>
    </w:tblPr>
    <w:tblStylePr w:type="band1Horz">
      <w:tblPr/>
      <w:tcPr>
        <w:shd w:val="clear" w:color="auto" w:fill="D8D8D8" w:themeFill="background1" w:themeFillShade="D8"/>
      </w:tcPr>
    </w:tblStylePr>
    <w:tblStylePr w:type="band1Vert">
      <w:tblPr/>
      <w:tcPr>
        <w:tcBorders>
          <w:start w:val="nil" w:sz="0"/>
          <w:end w:val="nil" w:sz="0"/>
          <w:insideH w:val="nil" w:sz="0"/>
          <w:insideV w:val="nil" w:sz="0"/>
        </w:tcBorders>
        <w:shd w:val="clear" w:color="auto" w:fill="D8D8D8" w:themeFill="background1" w:themeFillShade="D8"/>
      </w:tcPr>
    </w:tblStylePr>
    <w:tblStylePr w:type="firstCol">
      <w:rPr>
        <w:color w:val="FFFFFF" w:themeColor="background1"/>
        <w:b w:val="1"/>
        <w:bCs w:val="1"/>
      </w:rPr>
      <w:tblPr/>
      <w:tcPr>
        <w:tcBorders>
          <w:top w:val="nil" w:sz="0"/>
          <w:start w:val="nil" w:sz="0"/>
          <w:bottom w:val="single" w:color="auto" w:sz="18" w:space="0"/>
          <w:end w:val="nil" w:sz="0"/>
          <w:insideH w:val="nil" w:sz="0"/>
          <w:insideV w:val="nil" w:sz="0"/>
        </w:tcBorders>
        <w:shd w:val="clear" w:color="auto" w:fill="8064A2" w:themeFill="accent4"/>
      </w:tcPr>
    </w:tblStylePr>
    <w:tblStylePr w:type="firstRow">
      <w:pPr>
        <w:spacing w:before="0" w:after="0" w:line="240" w:lineRule="auto"/>
      </w:pPr>
      <w:rPr>
        <w:color w:val="FFFFFF" w:themeColor="background1"/>
        <w:b w:val="1"/>
        <w:bCs w:val="1"/>
      </w:rPr>
      <w:tblPr/>
      <w:tcPr>
        <w:tcBorders>
          <w:top w:val="single" w:color="auto" w:sz="18" w:space="0"/>
          <w:start w:val="nil" w:sz="0"/>
          <w:bottom w:val="single" w:color="auto" w:sz="18" w:space="0"/>
          <w:end w:val="nil" w:sz="0"/>
          <w:insideH w:val="nil" w:sz="0"/>
          <w:insideV w:val="nil" w:sz="0"/>
        </w:tcBorders>
        <w:shd w:val="clear" w:color="auto" w:fill="8064A2" w:themeFill="accent4"/>
      </w:tcPr>
    </w:tblStylePr>
    <w:tblStylePr w:type="lastCol">
      <w:rPr>
        <w:color w:val="FFFFFF" w:themeColor="background1"/>
        <w:b w:val="1"/>
        <w:bCs w:val="1"/>
      </w:rPr>
      <w:tblPr/>
      <w:tcPr>
        <w:tcBorders>
          <w:start w:val="nil" w:sz="0"/>
          <w:end w:val="nil" w:sz="0"/>
          <w:insideH w:val="nil" w:sz="0"/>
          <w:insideV w:val="nil" w:sz="0"/>
        </w:tcBorders>
        <w:shd w:val="clear" w:color="auto" w:fill="8064A2" w:themeFill="accent4"/>
      </w:tcPr>
    </w:tblStylePr>
    <w:tblStylePr w:type="lastRow">
      <w:pPr>
        <w:spacing w:before="0" w:after="0" w:line="240" w:lineRule="auto"/>
      </w:pPr>
      <w:rPr>
        <w:color w:val="auto"/>
      </w:rPr>
      <w:tblPr/>
      <w:tcPr>
        <w:tcBorders>
          <w:top w:val="double" w:color="auto" w:sz="6" w:space="0"/>
          <w:start w:val="nil" w:sz="0"/>
          <w:bottom w:val="single" w:color="auto" w:sz="18" w:space="0"/>
          <w:end w:val="nil" w:sz="0"/>
          <w:insideH w:val="nil" w:sz="0"/>
          <w:insideV w:val="nil" w:sz="0"/>
        </w:tcBorders>
        <w:shd w:val="clear" w:color="auto" w:fill="FFFFFF" w:themeFill="background1"/>
      </w:tcPr>
    </w:tblStylePr>
    <w:tblStylePr w:type="neCell">
      <w:tblPr/>
      <w:tcPr>
        <w:tcBorders>
          <w:top w:val="single" w:color="auto" w:sz="18" w:space="0"/>
          <w:start w:val="nil" w:sz="0"/>
          <w:bottom w:val="single" w:color="auto" w:sz="18" w:space="0"/>
          <w:end w:val="nil" w:sz="0"/>
          <w:insideH w:val="nil" w:sz="0"/>
          <w:insideV w:val="nil" w:sz="0"/>
        </w:tcBorders>
      </w:tcPr>
    </w:tblStylePr>
    <w:tblStylePr w:type="nwCell">
      <w:rPr>
        <w:color w:val="FFFFFF" w:themeColor="background1"/>
      </w:rPr>
      <w:tblPr/>
      <w:tcPr>
        <w:tcBorders>
          <w:top w:val="single" w:color="auto" w:sz="18" w:space="0"/>
          <w:start w:val="nil" w:sz="0"/>
          <w:bottom w:val="single" w:color="auto" w:sz="18" w:space="0"/>
          <w:end w:val="nil" w:sz="0"/>
          <w:insideH w:val="nil" w:sz="0"/>
          <w:insideV w:val="nil" w:sz="0"/>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start w:w="108" w:type="dxa"/>
        <w:bottom w:w="0" w:type="dxa"/>
        <w:end w:w="108" w:type="dxa"/>
      </w:tblCellMar>
    </w:tblPr>
    <w:tblStylePr w:type="band1Horz">
      <w:tblPr/>
      <w:tcPr>
        <w:shd w:val="clear" w:color="auto" w:fill="D8D8D8" w:themeFill="background1" w:themeFillShade="D8"/>
      </w:tcPr>
    </w:tblStylePr>
    <w:tblStylePr w:type="band1Vert">
      <w:tblPr/>
      <w:tcPr>
        <w:tcBorders>
          <w:start w:val="nil" w:sz="0"/>
          <w:end w:val="nil" w:sz="0"/>
          <w:insideH w:val="nil" w:sz="0"/>
          <w:insideV w:val="nil" w:sz="0"/>
        </w:tcBorders>
        <w:shd w:val="clear" w:color="auto" w:fill="D8D8D8" w:themeFill="background1" w:themeFillShade="D8"/>
      </w:tcPr>
    </w:tblStylePr>
    <w:tblStylePr w:type="firstCol">
      <w:rPr>
        <w:color w:val="FFFFFF" w:themeColor="background1"/>
        <w:b w:val="1"/>
        <w:bCs w:val="1"/>
      </w:rPr>
      <w:tblPr/>
      <w:tcPr>
        <w:tcBorders>
          <w:top w:val="nil" w:sz="0"/>
          <w:start w:val="nil" w:sz="0"/>
          <w:bottom w:val="single" w:color="auto" w:sz="18" w:space="0"/>
          <w:end w:val="nil" w:sz="0"/>
          <w:insideH w:val="nil" w:sz="0"/>
          <w:insideV w:val="nil" w:sz="0"/>
        </w:tcBorders>
        <w:shd w:val="clear" w:color="auto" w:fill="4BACC6" w:themeFill="accent5"/>
      </w:tcPr>
    </w:tblStylePr>
    <w:tblStylePr w:type="firstRow">
      <w:pPr>
        <w:spacing w:before="0" w:after="0" w:line="240" w:lineRule="auto"/>
      </w:pPr>
      <w:rPr>
        <w:color w:val="FFFFFF" w:themeColor="background1"/>
        <w:b w:val="1"/>
        <w:bCs w:val="1"/>
      </w:rPr>
      <w:tblPr/>
      <w:tcPr>
        <w:tcBorders>
          <w:top w:val="single" w:color="auto" w:sz="18" w:space="0"/>
          <w:start w:val="nil" w:sz="0"/>
          <w:bottom w:val="single" w:color="auto" w:sz="18" w:space="0"/>
          <w:end w:val="nil" w:sz="0"/>
          <w:insideH w:val="nil" w:sz="0"/>
          <w:insideV w:val="nil" w:sz="0"/>
        </w:tcBorders>
        <w:shd w:val="clear" w:color="auto" w:fill="4BACC6" w:themeFill="accent5"/>
      </w:tcPr>
    </w:tblStylePr>
    <w:tblStylePr w:type="lastCol">
      <w:rPr>
        <w:color w:val="FFFFFF" w:themeColor="background1"/>
        <w:b w:val="1"/>
        <w:bCs w:val="1"/>
      </w:rPr>
      <w:tblPr/>
      <w:tcPr>
        <w:tcBorders>
          <w:start w:val="nil" w:sz="0"/>
          <w:end w:val="nil" w:sz="0"/>
          <w:insideH w:val="nil" w:sz="0"/>
          <w:insideV w:val="nil" w:sz="0"/>
        </w:tcBorders>
        <w:shd w:val="clear" w:color="auto" w:fill="4BACC6" w:themeFill="accent5"/>
      </w:tcPr>
    </w:tblStylePr>
    <w:tblStylePr w:type="lastRow">
      <w:pPr>
        <w:spacing w:before="0" w:after="0" w:line="240" w:lineRule="auto"/>
      </w:pPr>
      <w:rPr>
        <w:color w:val="auto"/>
      </w:rPr>
      <w:tblPr/>
      <w:tcPr>
        <w:tcBorders>
          <w:top w:val="double" w:color="auto" w:sz="6" w:space="0"/>
          <w:start w:val="nil" w:sz="0"/>
          <w:bottom w:val="single" w:color="auto" w:sz="18" w:space="0"/>
          <w:end w:val="nil" w:sz="0"/>
          <w:insideH w:val="nil" w:sz="0"/>
          <w:insideV w:val="nil" w:sz="0"/>
        </w:tcBorders>
        <w:shd w:val="clear" w:color="auto" w:fill="FFFFFF" w:themeFill="background1"/>
      </w:tcPr>
    </w:tblStylePr>
    <w:tblStylePr w:type="neCell">
      <w:tblPr/>
      <w:tcPr>
        <w:tcBorders>
          <w:top w:val="single" w:color="auto" w:sz="18" w:space="0"/>
          <w:start w:val="nil" w:sz="0"/>
          <w:bottom w:val="single" w:color="auto" w:sz="18" w:space="0"/>
          <w:end w:val="nil" w:sz="0"/>
          <w:insideH w:val="nil" w:sz="0"/>
          <w:insideV w:val="nil" w:sz="0"/>
        </w:tcBorders>
      </w:tcPr>
    </w:tblStylePr>
    <w:tblStylePr w:type="nwCell">
      <w:rPr>
        <w:color w:val="FFFFFF" w:themeColor="background1"/>
      </w:rPr>
      <w:tblPr/>
      <w:tcPr>
        <w:tcBorders>
          <w:top w:val="single" w:color="auto" w:sz="18" w:space="0"/>
          <w:start w:val="nil" w:sz="0"/>
          <w:bottom w:val="single" w:color="auto" w:sz="18" w:space="0"/>
          <w:end w:val="nil" w:sz="0"/>
          <w:insideH w:val="nil" w:sz="0"/>
          <w:insideV w:val="nil" w:sz="0"/>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start w:w="108" w:type="dxa"/>
        <w:bottom w:w="0" w:type="dxa"/>
        <w:end w:w="108" w:type="dxa"/>
      </w:tblCellMar>
    </w:tblPr>
    <w:tblStylePr w:type="band1Horz">
      <w:tblPr/>
      <w:tcPr>
        <w:shd w:val="clear" w:color="auto" w:fill="D8D8D8" w:themeFill="background1" w:themeFillShade="D8"/>
      </w:tcPr>
    </w:tblStylePr>
    <w:tblStylePr w:type="band1Vert">
      <w:tblPr/>
      <w:tcPr>
        <w:tcBorders>
          <w:start w:val="nil" w:sz="0"/>
          <w:end w:val="nil" w:sz="0"/>
          <w:insideH w:val="nil" w:sz="0"/>
          <w:insideV w:val="nil" w:sz="0"/>
        </w:tcBorders>
        <w:shd w:val="clear" w:color="auto" w:fill="D8D8D8" w:themeFill="background1" w:themeFillShade="D8"/>
      </w:tcPr>
    </w:tblStylePr>
    <w:tblStylePr w:type="firstCol">
      <w:rPr>
        <w:color w:val="FFFFFF" w:themeColor="background1"/>
        <w:b w:val="1"/>
        <w:bCs w:val="1"/>
      </w:rPr>
      <w:tblPr/>
      <w:tcPr>
        <w:tcBorders>
          <w:top w:val="nil" w:sz="0"/>
          <w:start w:val="nil" w:sz="0"/>
          <w:bottom w:val="single" w:color="auto" w:sz="18" w:space="0"/>
          <w:end w:val="nil" w:sz="0"/>
          <w:insideH w:val="nil" w:sz="0"/>
          <w:insideV w:val="nil" w:sz="0"/>
        </w:tcBorders>
        <w:shd w:val="clear" w:color="auto" w:fill="F79646" w:themeFill="accent6"/>
      </w:tcPr>
    </w:tblStylePr>
    <w:tblStylePr w:type="firstRow">
      <w:pPr>
        <w:spacing w:before="0" w:after="0" w:line="240" w:lineRule="auto"/>
      </w:pPr>
      <w:rPr>
        <w:color w:val="FFFFFF" w:themeColor="background1"/>
        <w:b w:val="1"/>
        <w:bCs w:val="1"/>
      </w:rPr>
      <w:tblPr/>
      <w:tcPr>
        <w:tcBorders>
          <w:top w:val="single" w:color="auto" w:sz="18" w:space="0"/>
          <w:start w:val="nil" w:sz="0"/>
          <w:bottom w:val="single" w:color="auto" w:sz="18" w:space="0"/>
          <w:end w:val="nil" w:sz="0"/>
          <w:insideH w:val="nil" w:sz="0"/>
          <w:insideV w:val="nil" w:sz="0"/>
        </w:tcBorders>
        <w:shd w:val="clear" w:color="auto" w:fill="F79646" w:themeFill="accent6"/>
      </w:tcPr>
    </w:tblStylePr>
    <w:tblStylePr w:type="lastCol">
      <w:rPr>
        <w:color w:val="FFFFFF" w:themeColor="background1"/>
        <w:b w:val="1"/>
        <w:bCs w:val="1"/>
      </w:rPr>
      <w:tblPr/>
      <w:tcPr>
        <w:tcBorders>
          <w:start w:val="nil" w:sz="0"/>
          <w:end w:val="nil" w:sz="0"/>
          <w:insideH w:val="nil" w:sz="0"/>
          <w:insideV w:val="nil" w:sz="0"/>
        </w:tcBorders>
        <w:shd w:val="clear" w:color="auto" w:fill="F79646" w:themeFill="accent6"/>
      </w:tcPr>
    </w:tblStylePr>
    <w:tblStylePr w:type="lastRow">
      <w:pPr>
        <w:spacing w:before="0" w:after="0" w:line="240" w:lineRule="auto"/>
      </w:pPr>
      <w:rPr>
        <w:color w:val="auto"/>
      </w:rPr>
      <w:tblPr/>
      <w:tcPr>
        <w:tcBorders>
          <w:top w:val="double" w:color="auto" w:sz="6" w:space="0"/>
          <w:start w:val="nil" w:sz="0"/>
          <w:bottom w:val="single" w:color="auto" w:sz="18" w:space="0"/>
          <w:end w:val="nil" w:sz="0"/>
          <w:insideH w:val="nil" w:sz="0"/>
          <w:insideV w:val="nil" w:sz="0"/>
        </w:tcBorders>
        <w:shd w:val="clear" w:color="auto" w:fill="FFFFFF" w:themeFill="background1"/>
      </w:tcPr>
    </w:tblStylePr>
    <w:tblStylePr w:type="neCell">
      <w:tblPr/>
      <w:tcPr>
        <w:tcBorders>
          <w:top w:val="single" w:color="auto" w:sz="18" w:space="0"/>
          <w:start w:val="nil" w:sz="0"/>
          <w:bottom w:val="single" w:color="auto" w:sz="18" w:space="0"/>
          <w:end w:val="nil" w:sz="0"/>
          <w:insideH w:val="nil" w:sz="0"/>
          <w:insideV w:val="nil" w:sz="0"/>
        </w:tcBorders>
      </w:tcPr>
    </w:tblStylePr>
    <w:tblStylePr w:type="nwCell">
      <w:rPr>
        <w:color w:val="FFFFFF" w:themeColor="background1"/>
      </w:rPr>
      <w:tblPr/>
      <w:tcPr>
        <w:tcBorders>
          <w:top w:val="single" w:color="auto" w:sz="18" w:space="0"/>
          <w:start w:val="nil" w:sz="0"/>
          <w:bottom w:val="single" w:color="auto" w:sz="18" w:space="0"/>
          <w:end w:val="nil" w:sz="0"/>
          <w:insideH w:val="nil" w:sz="0"/>
          <w:insideV w:val="nil" w:sz="0"/>
        </w:tcBorders>
      </w:tcPr>
    </w:tblStyle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paragraph" w:styleId="Normal" w:default="1">
    <w:name w:val="Normal"/>
    <w:qFormat w:val="1"/>
    <w:rsid w:val="00FC693F"/>
    <w:pPr>
      <w:spacing w:after="120" w:line="276" w:lineRule="auto"/>
    </w:pPr>
    <w:rPr>
      <w:rFonts w:ascii="Times New Roman" w:hAnsi="Times New Roman" w:eastAsia="Times New Roman"/>
      <w:sz w:val="24"/>
    </w:rPr>
  </w:style>
  <w:style w:type="paragraph" w:styleId="Quote">
    <w:name w:val="Quote"/>
    <w:basedOn w:val="Normal"/>
    <w:next w:val="Normal"/>
    <w:link w:val="QuoteChar"/>
    <w:uiPriority w:val="29"/>
    <w:qFormat w:val="1"/>
    <w:rsid w:val="00FC693F"/>
    <w:rPr>
      <w:color w:val="000000" w:themeColor="text1"/>
      <w:i w:val="1"/>
      <w:iCs w:val="1"/>
    </w:rPr>
  </w:style>
  <w:style w:type="character" w:styleId="QuoteChar" w:customStyle="1">
    <w:name w:val="Quote Char"/>
    <w:basedOn w:val="DefaultParagraphFont"/>
    <w:link w:val="Quote"/>
    <w:uiPriority w:val="29"/>
    <w:rsid w:val="00FC693F"/>
    <w:rPr>
      <w:color w:val="000000" w:themeColor="text1"/>
      <w:i w:val="1"/>
      <w:iCs w:val="1"/>
    </w:rPr>
  </w:style>
  <w:style w:type="character" w:styleId="Strong">
    <w:name w:val="Strong"/>
    <w:basedOn w:val="DefaultParagraphFont"/>
    <w:uiPriority w:val="22"/>
    <w:qFormat w:val="1"/>
    <w:rsid w:val="00FC693F"/>
    <w:rPr>
      <w:b w:val="1"/>
      <w:bCs w:val="1"/>
    </w:rPr>
  </w:style>
  <w:style w:type="paragraph" w:styleId="Subtitle">
    <w:name w:val="Subtitle"/>
    <w:basedOn w:val="Normal"/>
    <w:next w:val="Normal"/>
    <w:link w:val="SubtitleChar"/>
    <w:uiPriority w:val="11"/>
    <w:qFormat w:val="1"/>
    <w:rsid w:val="00FC693F"/>
    <w:pPr>
      <w:numPr>
        <w:ilvl w:val="1"/>
      </w:numPr>
    </w:pPr>
    <w:rPr>
      <w:rFonts w:asciiTheme="majorHAnsi" w:hAnsiTheme="majorHAnsi" w:eastAsiaTheme="majorEastAsia" w:cstheme="majorBidi"/>
      <w:sz w:val="24"/>
      <w:color w:val="4F81BD" w:themeColor="accent1"/>
      <w:i w:val="1"/>
      <w:spacing w:val="15"/>
      <w:iCs w:val="1"/>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sz w:val="24"/>
      <w:color w:val="4F81BD" w:themeColor="accent1"/>
      <w:i w:val="1"/>
      <w:spacing w:val="15"/>
      <w:iCs w:val="1"/>
      <w:szCs w:val="24"/>
    </w:rPr>
  </w:style>
  <w:style w:type="character" w:styleId="SubtleEmphasis">
    <w:name w:val="Subtle Emphasis"/>
    <w:basedOn w:val="DefaultParagraphFont"/>
    <w:uiPriority w:val="19"/>
    <w:qFormat w:val="1"/>
    <w:rsid w:val="00FC693F"/>
    <w:rPr>
      <w:color w:val="808080" w:themeColor="text1" w:themeTint="7F"/>
      <w:i w:val="1"/>
      <w:iCs w:val="1"/>
    </w:rPr>
  </w:style>
  <w:style w:type="character" w:styleId="SubtleReference">
    <w:name w:val="Subtle Reference"/>
    <w:basedOn w:val="DefaultParagraphFont"/>
    <w:uiPriority w:val="31"/>
    <w:qFormat w:val="1"/>
    <w:rsid w:val="00FC693F"/>
    <w:rPr>
      <w:color w:val="C0504D" w:themeColor="accent2"/>
      <w:u w:val="single"/>
      <w:smallCaps w:val="1"/>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start w:w="108" w:type="dxa"/>
        <w:bottom w:w="0" w:type="dxa"/>
        <w:end w:w="108" w:type="dxa"/>
      </w:tblCellMar>
    </w:tblPr>
  </w:style>
  <w:style w:type="table" w:styleId="TableNormal" w:default="1">
    <w:name w:val="Normal Table"/>
    <w:uiPriority w:val="99"/>
    <w:semiHidden w:val="1"/>
    <w:unhideWhenUsed w:val="1"/>
    <w:tblPr>
      <w:tblInd w:w="0" w:type="dxa"/>
      <w:tblCellMar>
        <w:top w:w="0" w:type="dxa"/>
        <w:start w:w="108" w:type="dxa"/>
        <w:bottom w:w="0" w:type="dxa"/>
        <w:end w:w="108" w:type="dxa"/>
      </w:tblCellMar>
    </w:tblPr>
  </w:style>
  <w:style w:type="paragraph" w:styleId="Title">
    <w:name w:val="Title"/>
    <w:basedOn w:val="Normal"/>
    <w:next w:val="Normal"/>
    <w:link w:val="TitleChar"/>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sz w:val="52"/>
      <w:color w:val="17365D" w:themeColor="text2" w:themeShade="BF"/>
      <w:spacing w:val="5"/>
      <w:kern w:val="28"/>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sz w:val="52"/>
      <w:color w:val="17365D" w:themeColor="text2" w:themeShade="BF"/>
      <w:spacing w:val="5"/>
      <w:kern w:val="28"/>
      <w:szCs w:val="52"/>
    </w:rPr>
  </w:style>
</w:styles>
</file>

<file path=word/stylesWithEffects.xml><?xml version="1.0" encoding="utf-8"?>
<w:styles xmlns:w14="http://schemas.microsoft.com/office/word/2010/wordml" xmlns:wp14="http://schemas.microsoft.com/office/word/2010/wordprocessingDrawing" xmlns:mc="http://schemas.openxmlformats.org/markup-compatibility/2006" xmlns:w="http://schemas.openxmlformats.org/wordprocessingml/2006/main"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w="http://schemas.openxmlformats.org/wordprocessingml/2006/main" xmlns:w14="http://schemas.microsoft.com/office/word/2010/wordml" mc:Ignorable="w14">
  <w:allowPNG/>
  <w:doNotSaveAsSingleFile/>
</w:webSettings>
</file>

<file path=word/_rels/document.xml.rels><?xml version="1.0"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Type="http://schemas.openxmlformats.org/officeDocument/2006/relationships/comments" Target="comments.xml" Id="rId-973a5cab-8aab-4f5e-9bfc-c496a89160b4"/><Relationship Type="http://schemas.microsoft.com/office/2011/relationships/commentsExtended" Target="commentsExtended.xml" Id="rId-fc69a175-7a7d-451f-9867-34486c92b42b"/><Relationship Type="http://schemas.microsoft.com/office/2011/relationships/people" Target="people.xml" Id="rId-d2033d15-eca5-4857-9aaa-2b69dd502e01"/><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9" Type="http://schemas.openxmlformats.org/officeDocument/2006/relationships/image" Target="media/image1.jpg"/></Relationships>
</file>

<file path=word/theme/theme1.xml><?xml version="1.0" encoding="utf-8"?>
<a:theme xmlns:a="http://schemas.openxmlformats.org/drawingml/2006/main">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4999"/>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Relationships xmlns="http://schemas.openxmlformats.org/package/2006/relationships"><Relationship Id="rId1" Type="http://schemas.openxmlformats.org/officeDocument/2006/relationships/customXmlProps" Target="itemProps1.xml"/></Relationships>
</file>

<file path=customXml/item1.xml><?xml version="1.0" encoding="utf-8"?>
<bibliography:Sources xmlns:bibliography="http://schemas.openxmlformats.org/officeDocument/2006/bibliography" SelectedStyle="/APA.XSL" StyleName="APA"/>
</file>

<file path=customXml/itemProps1.xml><?xml version="1.0" encoding="utf-8"?>
<customXml:datastoreItem xmlns:customXml="http://schemas.openxmlformats.org/officeDocument/2006/customXml" customXml:itemID="{EF278816-EC6F-A645-907D-7F25AECB1D4A}">
  <customXml:schemaRefs>
    <customXml:schemaRef customXml:uri="http://schemas.openxmlformats.org/officeDocument/2006/bibliography"/>
  </customXml:schemaRefs>
</customXml:datastoreItem>
</file>

<file path=docProps/app.xml><?xml version="1.0" encoding="utf-8"?>
<ep:Properties xmlns:vt="http://schemas.openxmlformats.org/officeDocument/2006/docPropsVTypes" xmlns:ep="http://schemas.openxmlformats.org/officeDocument/2006/extended-properties">
  <ep:Template>Normal.dotm</ep:Template>
  <ep:TotalTime>0</ep:TotalTime>
  <ep:Pages>1</ep:Pages>
  <ep:Words>0</ep:Words>
  <ep:Characters>0</ep:Characters>
  <ep:Application>Microsoft Macintosh Word</ep:Application>
  <ep:DocSecurity>0</ep:DocSecurity>
  <ep:Lines>0</ep:Lines>
  <ep:Paragraphs>0</ep:Paragraphs>
  <ep:ScaleCrop>false</ep:ScaleCrop>
  <ep:HeadingPairs>
    <vt:vector size="2" baseType="variant">
      <vt:variant>
        <vt:lpstr>Title</vt:lpstr>
      </vt:variant>
      <vt:variant>
        <vt:i4>1</vt:i4>
      </vt:variant>
    </vt:vector>
  </ep:HeadingPairs>
  <ep:TitlesOfParts>
    <vt:vector size="1" baseType="lpstr">
      <vt:lpstr/>
    </vt:vector>
  </ep:TitlesOfParts>
  <ep:Manager/>
  <ep:Company/>
  <ep:LinksUpToDate>false</ep:LinksUpToDate>
  <ep:CharactersWithSpaces>0</ep:CharactersWithSpaces>
  <ep:SharedDoc>false</ep:SharedDoc>
  <ep:HyperlinkBase/>
  <ep:HyperlinksChanged>false</ep:HyperlinksChanged>
  <ep:AppVersion>14.0000</ep:AppVersion>
</ep:Properties>
</file>

<file path=docProps/core.xml><?xml version="1.0" encoding="utf-8"?>
<cp:coreProperties xmlns:cp="http://schemas.openxmlformats.org/package/2006/metadata/core-properties" xmlns:xsi="http://www.w3.org/2001/XMLSchema-instance" xmlns:dc="http://purl.org/dc/elements/1.1/" xmlns:dcterms="http://purl.org/dc/terms/">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