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0C" w:rsidRDefault="00500D0C" w:rsidP="00500D0C">
      <w:pPr>
        <w:pStyle w:val="a5"/>
        <w:widowControl/>
        <w:numPr>
          <w:ilvl w:val="0"/>
          <w:numId w:val="1"/>
        </w:numPr>
        <w:shd w:val="clear" w:color="auto" w:fill="FFFFFF"/>
        <w:spacing w:line="315" w:lineRule="atLeast"/>
        <w:ind w:firstLineChars="0"/>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简要介绍课题的问题背景、目标、解决思路和方法。</w:t>
      </w:r>
    </w:p>
    <w:p w:rsidR="00076BAD" w:rsidRDefault="00076BAD" w:rsidP="00076BAD">
      <w:pPr>
        <w:widowControl/>
        <w:shd w:val="clear" w:color="auto" w:fill="FFFFFF"/>
        <w:spacing w:line="315" w:lineRule="atLeast"/>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问题背景</w:t>
      </w:r>
      <w:r>
        <w:rPr>
          <w:rFonts w:asciiTheme="minorEastAsia" w:hAnsiTheme="minorEastAsia" w:cs="宋体" w:hint="eastAsia"/>
          <w:color w:val="000000"/>
          <w:kern w:val="0"/>
          <w:szCs w:val="21"/>
        </w:rPr>
        <w:t>：</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可重构处理器发展趋势</w:t>
      </w:r>
      <w:r>
        <w:rPr>
          <w:rFonts w:asciiTheme="minorEastAsia" w:hAnsiTheme="minorEastAsia" w:cs="宋体" w:hint="eastAsia"/>
          <w:color w:val="000000"/>
          <w:kern w:val="0"/>
          <w:szCs w:val="21"/>
        </w:rPr>
        <w:t>：</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迭代架构</w:t>
      </w:r>
      <w:r>
        <w:rPr>
          <w:rFonts w:asciiTheme="minorEastAsia" w:hAnsiTheme="minorEastAsia" w:cs="宋体" w:hint="eastAsia"/>
          <w:color w:val="000000"/>
          <w:kern w:val="0"/>
          <w:szCs w:val="21"/>
        </w:rPr>
        <w:t>-</w:t>
      </w:r>
      <w:r>
        <w:rPr>
          <w:rFonts w:asciiTheme="minorEastAsia" w:hAnsiTheme="minorEastAsia" w:cs="宋体"/>
          <w:color w:val="000000"/>
          <w:kern w:val="0"/>
          <w:szCs w:val="21"/>
        </w:rPr>
        <w:t>处理器阵列</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更高的主频更高的吞吐率</w:t>
      </w:r>
    </w:p>
    <w:p w:rsidR="006526E5" w:rsidRDefault="006526E5"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color w:val="000000"/>
          <w:kern w:val="0"/>
          <w:szCs w:val="21"/>
        </w:rPr>
        <w:t>可重构处理器阵列通过轮函数流水展开</w:t>
      </w:r>
      <w:r>
        <w:rPr>
          <w:rFonts w:asciiTheme="minorEastAsia" w:hAnsiTheme="minorEastAsia" w:cs="宋体" w:hint="eastAsia"/>
          <w:color w:val="000000"/>
          <w:kern w:val="0"/>
          <w:szCs w:val="21"/>
        </w:rPr>
        <w:t>，</w:t>
      </w:r>
      <w:r>
        <w:rPr>
          <w:rFonts w:asciiTheme="minorEastAsia" w:hAnsiTheme="minorEastAsia" w:cs="宋体"/>
          <w:color w:val="000000"/>
          <w:kern w:val="0"/>
          <w:szCs w:val="21"/>
        </w:rPr>
        <w:t>实现单周期完成一组数据加密</w:t>
      </w:r>
      <w:r>
        <w:rPr>
          <w:rFonts w:asciiTheme="minorEastAsia" w:hAnsiTheme="minorEastAsia" w:cs="宋体" w:hint="eastAsia"/>
          <w:color w:val="000000"/>
          <w:kern w:val="0"/>
          <w:szCs w:val="21"/>
        </w:rPr>
        <w:t>，</w:t>
      </w:r>
      <w:r>
        <w:rPr>
          <w:rFonts w:asciiTheme="minorEastAsia" w:hAnsiTheme="minorEastAsia" w:cs="宋体"/>
          <w:color w:val="000000"/>
          <w:kern w:val="0"/>
          <w:szCs w:val="21"/>
        </w:rPr>
        <w:t>实现高吞吐率</w:t>
      </w:r>
      <w:r>
        <w:rPr>
          <w:rFonts w:asciiTheme="minorEastAsia" w:hAnsiTheme="minorEastAsia" w:cs="宋体" w:hint="eastAsia"/>
          <w:color w:val="000000"/>
          <w:kern w:val="0"/>
          <w:szCs w:val="21"/>
        </w:rPr>
        <w:t>。但同时也是整个处理器的面积变得很大，其中可重构处理器阵列部分占据主要部分。</w:t>
      </w:r>
    </w:p>
    <w:tbl>
      <w:tblPr>
        <w:tblStyle w:val="a6"/>
        <w:tblW w:w="0" w:type="auto"/>
        <w:tblLook w:val="04A0" w:firstRow="1" w:lastRow="0" w:firstColumn="1" w:lastColumn="0" w:noHBand="0" w:noVBand="1"/>
      </w:tblPr>
      <w:tblGrid>
        <w:gridCol w:w="1659"/>
        <w:gridCol w:w="1659"/>
        <w:gridCol w:w="1659"/>
        <w:gridCol w:w="1659"/>
        <w:gridCol w:w="1660"/>
      </w:tblGrid>
      <w:tr w:rsidR="006526E5" w:rsidTr="006526E5">
        <w:tc>
          <w:tcPr>
            <w:tcW w:w="1659" w:type="dxa"/>
          </w:tcPr>
          <w:p w:rsidR="006526E5" w:rsidRDefault="006526E5" w:rsidP="00076BAD">
            <w:pPr>
              <w:widowControl/>
              <w:spacing w:line="315" w:lineRule="atLeast"/>
              <w:jc w:val="left"/>
              <w:rPr>
                <w:rFonts w:asciiTheme="minorEastAsia" w:hAnsiTheme="minorEastAsia" w:cs="宋体"/>
                <w:color w:val="000000"/>
                <w:szCs w:val="21"/>
              </w:rPr>
            </w:pPr>
            <w:r>
              <w:rPr>
                <w:rFonts w:asciiTheme="minorEastAsia" w:hAnsiTheme="minorEastAsia" w:cs="宋体"/>
                <w:color w:val="000000"/>
                <w:szCs w:val="21"/>
              </w:rPr>
              <w:t>架构</w:t>
            </w:r>
          </w:p>
        </w:tc>
        <w:tc>
          <w:tcPr>
            <w:tcW w:w="1659" w:type="dxa"/>
          </w:tcPr>
          <w:p w:rsidR="006526E5" w:rsidRDefault="006526E5" w:rsidP="00076BAD">
            <w:pPr>
              <w:widowControl/>
              <w:spacing w:line="315" w:lineRule="atLeast"/>
              <w:jc w:val="left"/>
              <w:rPr>
                <w:rFonts w:asciiTheme="minorEastAsia" w:hAnsiTheme="minorEastAsia" w:cs="宋体" w:hint="eastAsia"/>
                <w:color w:val="000000"/>
                <w:szCs w:val="21"/>
              </w:rPr>
            </w:pPr>
            <w:r>
              <w:rPr>
                <w:rFonts w:asciiTheme="minorEastAsia" w:hAnsiTheme="minorEastAsia" w:cs="宋体"/>
                <w:color w:val="000000"/>
                <w:szCs w:val="21"/>
              </w:rPr>
              <w:t>架构特点</w:t>
            </w:r>
          </w:p>
        </w:tc>
        <w:tc>
          <w:tcPr>
            <w:tcW w:w="1659" w:type="dxa"/>
          </w:tcPr>
          <w:p w:rsidR="006526E5" w:rsidRDefault="006526E5" w:rsidP="00076BAD">
            <w:pPr>
              <w:widowControl/>
              <w:spacing w:line="315" w:lineRule="atLeast"/>
              <w:jc w:val="left"/>
              <w:rPr>
                <w:rFonts w:asciiTheme="minorEastAsia" w:hAnsiTheme="minorEastAsia" w:cs="宋体" w:hint="eastAsia"/>
                <w:color w:val="000000"/>
                <w:szCs w:val="21"/>
              </w:rPr>
            </w:pPr>
            <w:r>
              <w:rPr>
                <w:rFonts w:asciiTheme="minorEastAsia" w:hAnsiTheme="minorEastAsia" w:cs="宋体"/>
                <w:color w:val="000000"/>
                <w:szCs w:val="21"/>
              </w:rPr>
              <w:t>工艺</w:t>
            </w:r>
            <w:r w:rsidR="00443CDF">
              <w:rPr>
                <w:rFonts w:asciiTheme="minorEastAsia" w:hAnsiTheme="minorEastAsia" w:cs="宋体" w:hint="eastAsia"/>
                <w:color w:val="000000"/>
                <w:szCs w:val="21"/>
              </w:rPr>
              <w:t>nm</w:t>
            </w:r>
          </w:p>
        </w:tc>
        <w:tc>
          <w:tcPr>
            <w:tcW w:w="1659" w:type="dxa"/>
          </w:tcPr>
          <w:p w:rsidR="006526E5" w:rsidRDefault="006526E5" w:rsidP="00076BAD">
            <w:pPr>
              <w:widowControl/>
              <w:spacing w:line="315" w:lineRule="atLeast"/>
              <w:jc w:val="left"/>
              <w:rPr>
                <w:rFonts w:asciiTheme="minorEastAsia" w:hAnsiTheme="minorEastAsia" w:cs="宋体"/>
                <w:color w:val="000000"/>
                <w:szCs w:val="21"/>
              </w:rPr>
            </w:pPr>
            <w:r>
              <w:rPr>
                <w:rFonts w:asciiTheme="minorEastAsia" w:hAnsiTheme="minorEastAsia" w:cs="宋体"/>
                <w:color w:val="000000"/>
                <w:szCs w:val="21"/>
              </w:rPr>
              <w:t>芯片面积</w:t>
            </w:r>
            <w:r w:rsidR="00443CDF">
              <w:rPr>
                <w:rFonts w:asciiTheme="minorEastAsia" w:hAnsiTheme="minorEastAsia" w:cs="宋体" w:hint="eastAsia"/>
                <w:color w:val="000000"/>
                <w:szCs w:val="21"/>
              </w:rPr>
              <w:t>m</w:t>
            </w:r>
            <w:r w:rsidR="00443CDF" w:rsidRPr="00443CDF">
              <w:rPr>
                <w:rFonts w:asciiTheme="minorEastAsia" w:hAnsiTheme="minorEastAsia" w:cs="宋体" w:hint="eastAsia"/>
                <w:color w:val="000000"/>
                <w:szCs w:val="21"/>
                <w:vertAlign w:val="superscript"/>
              </w:rPr>
              <w:t>2</w:t>
            </w:r>
          </w:p>
        </w:tc>
        <w:tc>
          <w:tcPr>
            <w:tcW w:w="1660" w:type="dxa"/>
          </w:tcPr>
          <w:p w:rsidR="006526E5" w:rsidRDefault="00443CDF" w:rsidP="00076BAD">
            <w:pPr>
              <w:widowControl/>
              <w:spacing w:line="315" w:lineRule="atLeast"/>
              <w:jc w:val="left"/>
              <w:rPr>
                <w:rFonts w:asciiTheme="minorEastAsia" w:hAnsiTheme="minorEastAsia" w:cs="宋体" w:hint="eastAsia"/>
                <w:color w:val="000000"/>
                <w:szCs w:val="21"/>
              </w:rPr>
            </w:pPr>
            <w:r>
              <w:rPr>
                <w:rFonts w:asciiTheme="minorEastAsia" w:hAnsiTheme="minorEastAsia" w:cs="宋体"/>
                <w:color w:val="000000"/>
                <w:szCs w:val="21"/>
              </w:rPr>
              <w:t>处理单元面积</w:t>
            </w:r>
            <w:r>
              <w:rPr>
                <w:rFonts w:asciiTheme="minorEastAsia" w:hAnsiTheme="minorEastAsia" w:cs="宋体" w:hint="eastAsia"/>
                <w:color w:val="000000"/>
                <w:szCs w:val="21"/>
              </w:rPr>
              <w:t>m</w:t>
            </w:r>
            <w:r w:rsidRPr="00443CDF">
              <w:rPr>
                <w:rFonts w:asciiTheme="minorEastAsia" w:hAnsiTheme="minorEastAsia" w:cs="宋体" w:hint="eastAsia"/>
                <w:color w:val="000000"/>
                <w:szCs w:val="21"/>
                <w:vertAlign w:val="superscript"/>
              </w:rPr>
              <w:t>2</w:t>
            </w:r>
          </w:p>
        </w:tc>
      </w:tr>
      <w:tr w:rsidR="00443CDF" w:rsidTr="006526E5">
        <w:tc>
          <w:tcPr>
            <w:tcW w:w="1659" w:type="dxa"/>
          </w:tcPr>
          <w:p w:rsidR="00443CDF" w:rsidRPr="00706FE9" w:rsidRDefault="00443CDF" w:rsidP="00443CDF">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ProDFA</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迭代</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130</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0.72</w:t>
            </w:r>
          </w:p>
        </w:tc>
        <w:tc>
          <w:tcPr>
            <w:tcW w:w="1660" w:type="dxa"/>
          </w:tcPr>
          <w:p w:rsidR="00443CDF" w:rsidRDefault="00443CDF" w:rsidP="00443CDF">
            <w:pPr>
              <w:widowControl/>
              <w:spacing w:line="315" w:lineRule="atLeast"/>
              <w:jc w:val="left"/>
              <w:rPr>
                <w:rFonts w:asciiTheme="minorEastAsia" w:hAnsiTheme="minorEastAsia" w:cs="宋体"/>
                <w:color w:val="000000"/>
                <w:szCs w:val="21"/>
              </w:rPr>
            </w:pPr>
          </w:p>
        </w:tc>
      </w:tr>
      <w:tr w:rsidR="00443CDF" w:rsidTr="003675D3">
        <w:tc>
          <w:tcPr>
            <w:tcW w:w="1659" w:type="dxa"/>
            <w:vAlign w:val="center"/>
          </w:tcPr>
          <w:p w:rsidR="00443CDF" w:rsidRPr="00BA1434" w:rsidRDefault="00443CDF" w:rsidP="00443CDF">
            <w:r w:rsidRPr="00BA1434">
              <w:rPr>
                <w:rFonts w:hint="eastAsia"/>
              </w:rPr>
              <w:t>cryptoraptor</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处理单元阵列</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45</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sidRPr="00BA1434">
              <w:rPr>
                <w:rFonts w:hint="eastAsia"/>
              </w:rPr>
              <w:t>6.32</w:t>
            </w:r>
          </w:p>
        </w:tc>
        <w:tc>
          <w:tcPr>
            <w:tcW w:w="1660" w:type="dxa"/>
          </w:tcPr>
          <w:p w:rsidR="00443CDF" w:rsidRDefault="003675D3"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4.54</w:t>
            </w:r>
          </w:p>
        </w:tc>
      </w:tr>
      <w:tr w:rsidR="00443CDF" w:rsidTr="006526E5">
        <w:tc>
          <w:tcPr>
            <w:tcW w:w="1659" w:type="dxa"/>
          </w:tcPr>
          <w:p w:rsidR="00443CDF" w:rsidRPr="00706FE9" w:rsidRDefault="00443CDF" w:rsidP="00443CDF">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RCPA</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处理单元阵列</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80</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14.9</w:t>
            </w:r>
          </w:p>
        </w:tc>
        <w:tc>
          <w:tcPr>
            <w:tcW w:w="1660" w:type="dxa"/>
          </w:tcPr>
          <w:p w:rsidR="00443CDF" w:rsidRDefault="00443CDF" w:rsidP="00443CDF">
            <w:pPr>
              <w:widowControl/>
              <w:spacing w:line="315" w:lineRule="atLeast"/>
              <w:jc w:val="left"/>
              <w:rPr>
                <w:rFonts w:asciiTheme="minorEastAsia" w:hAnsiTheme="minorEastAsia" w:cs="宋体"/>
                <w:color w:val="000000"/>
                <w:szCs w:val="21"/>
              </w:rPr>
            </w:pPr>
          </w:p>
        </w:tc>
      </w:tr>
      <w:tr w:rsidR="00443CDF" w:rsidTr="006526E5">
        <w:tc>
          <w:tcPr>
            <w:tcW w:w="1659" w:type="dxa"/>
          </w:tcPr>
          <w:p w:rsidR="00443CDF" w:rsidRPr="00706FE9" w:rsidRDefault="00443CDF" w:rsidP="00443CDF">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清华项目</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处理单元阵列</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40</w:t>
            </w:r>
          </w:p>
        </w:tc>
        <w:tc>
          <w:tcPr>
            <w:tcW w:w="1659" w:type="dxa"/>
          </w:tcPr>
          <w:p w:rsidR="00443CDF" w:rsidRDefault="00443CDF" w:rsidP="00443CDF">
            <w:pPr>
              <w:widowControl/>
              <w:spacing w:line="315" w:lineRule="atLeast"/>
              <w:jc w:val="left"/>
              <w:rPr>
                <w:rFonts w:asciiTheme="minorEastAsia" w:hAnsiTheme="minorEastAsia" w:cs="宋体"/>
                <w:color w:val="000000"/>
                <w:szCs w:val="21"/>
              </w:rPr>
            </w:pPr>
          </w:p>
        </w:tc>
        <w:tc>
          <w:tcPr>
            <w:tcW w:w="1660" w:type="dxa"/>
          </w:tcPr>
          <w:p w:rsidR="00443CDF" w:rsidRDefault="00443CDF" w:rsidP="00443CDF">
            <w:pPr>
              <w:widowControl/>
              <w:spacing w:line="315" w:lineRule="atLeast"/>
              <w:jc w:val="left"/>
              <w:rPr>
                <w:rFonts w:asciiTheme="minorEastAsia" w:hAnsiTheme="minorEastAsia" w:cs="宋体"/>
                <w:color w:val="000000"/>
                <w:szCs w:val="21"/>
              </w:rPr>
            </w:pPr>
          </w:p>
        </w:tc>
      </w:tr>
    </w:tbl>
    <w:p w:rsidR="003675D3" w:rsidRDefault="003675D3" w:rsidP="00076BAD">
      <w:pPr>
        <w:widowControl/>
        <w:shd w:val="clear" w:color="auto" w:fill="FFFFFF"/>
        <w:spacing w:line="315" w:lineRule="atLeast"/>
        <w:jc w:val="left"/>
        <w:rPr>
          <w:rFonts w:asciiTheme="minorEastAsia" w:hAnsiTheme="minorEastAsia" w:cs="宋体" w:hint="eastAsia"/>
          <w:color w:val="000000"/>
          <w:kern w:val="0"/>
          <w:szCs w:val="21"/>
        </w:rPr>
      </w:pPr>
      <w:r>
        <w:rPr>
          <w:rFonts w:asciiTheme="minorEastAsia" w:hAnsiTheme="minorEastAsia" w:cs="宋体"/>
          <w:color w:val="000000"/>
          <w:kern w:val="0"/>
          <w:szCs w:val="21"/>
        </w:rPr>
        <w:t>导致</w:t>
      </w:r>
      <w:r>
        <w:rPr>
          <w:rFonts w:asciiTheme="minorEastAsia" w:hAnsiTheme="minorEastAsia" w:cs="宋体" w:hint="eastAsia"/>
          <w:color w:val="000000"/>
          <w:kern w:val="0"/>
          <w:szCs w:val="21"/>
        </w:rPr>
        <w:t>可重构处理器阵列面积过大的原因分析：</w:t>
      </w:r>
    </w:p>
    <w:p w:rsidR="00443CDF" w:rsidRDefault="003675D3" w:rsidP="00076BAD">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每一个PE包含了所有算法的所有功能，这些功能单元的利用率很低，存在很大的冗余</w:t>
      </w:r>
      <w:r w:rsidR="001A1372">
        <w:rPr>
          <w:rFonts w:asciiTheme="minorEastAsia" w:hAnsiTheme="minorEastAsia" w:cs="宋体" w:hint="eastAsia"/>
          <w:color w:val="000000"/>
          <w:kern w:val="0"/>
          <w:szCs w:val="21"/>
        </w:rPr>
        <w:t>，下图列出了阵列架构中基本运算单元的利用率。从表中可以看出这些单元的利用率很低，存在很大的优化空间。</w:t>
      </w:r>
    </w:p>
    <w:p w:rsidR="003675D3" w:rsidRDefault="003675D3" w:rsidP="00076BAD">
      <w:pPr>
        <w:widowControl/>
        <w:shd w:val="clear" w:color="auto" w:fill="FFFFFF"/>
        <w:spacing w:line="315" w:lineRule="atLeast"/>
        <w:jc w:val="left"/>
        <w:rPr>
          <w:rFonts w:asciiTheme="minorEastAsia" w:hAnsiTheme="minorEastAsia" w:cs="宋体" w:hint="eastAsia"/>
          <w:color w:val="000000"/>
          <w:kern w:val="0"/>
          <w:szCs w:val="21"/>
        </w:rPr>
      </w:pPr>
    </w:p>
    <w:tbl>
      <w:tblPr>
        <w:tblW w:w="7894" w:type="dxa"/>
        <w:tblLook w:val="04A0" w:firstRow="1" w:lastRow="0" w:firstColumn="1" w:lastColumn="0" w:noHBand="0" w:noVBand="1"/>
      </w:tblPr>
      <w:tblGrid>
        <w:gridCol w:w="1341"/>
        <w:gridCol w:w="1080"/>
        <w:gridCol w:w="1080"/>
        <w:gridCol w:w="1080"/>
        <w:gridCol w:w="1080"/>
        <w:gridCol w:w="1414"/>
        <w:gridCol w:w="1080"/>
      </w:tblGrid>
      <w:tr w:rsidR="001A1372" w:rsidRPr="003675D3" w:rsidTr="007E1D13">
        <w:trPr>
          <w:trHeight w:val="300"/>
        </w:trPr>
        <w:tc>
          <w:tcPr>
            <w:tcW w:w="1080" w:type="dxa"/>
            <w:tcBorders>
              <w:top w:val="single" w:sz="4" w:space="0" w:color="auto"/>
              <w:left w:val="single" w:sz="4" w:space="0" w:color="auto"/>
              <w:bottom w:val="single" w:sz="4" w:space="0" w:color="auto"/>
              <w:right w:val="single" w:sz="4" w:space="0" w:color="auto"/>
            </w:tcBorders>
            <w:vAlign w:val="center"/>
          </w:tcPr>
          <w:p w:rsidR="001A1372" w:rsidRDefault="001A1372" w:rsidP="001A1372">
            <w:pPr>
              <w:widowControl/>
              <w:jc w:val="left"/>
              <w:rPr>
                <w:rFonts w:ascii="Times New Roman" w:hAnsi="Times New Roman" w:cs="Times New Roman"/>
                <w:color w:val="000000"/>
                <w:sz w:val="22"/>
              </w:rPr>
            </w:pPr>
            <w:r>
              <w:rPr>
                <w:rFonts w:ascii="Times New Roman" w:hAnsi="Times New Roman" w:cs="Times New Roman"/>
                <w:color w:val="000000"/>
                <w:sz w:val="22"/>
              </w:rPr>
              <w:t>TH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AU</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SH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PER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LOU</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4*LUT256*8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center"/>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GFM</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AES</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8%</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DES</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6%</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SM4</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TWOFISH</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RC5</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BLOWFISH</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19%</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414"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hAnsi="Times New Roman" w:cs="Times New Roman"/>
                <w:color w:val="00000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eastAsia="宋体" w:hAnsi="Times New Roman" w:cs="Times New Roman"/>
                <w:color w:val="000000"/>
                <w:sz w:val="22"/>
              </w:rPr>
            </w:pPr>
            <w:r>
              <w:rPr>
                <w:rFonts w:ascii="Times New Roman" w:hAnsi="Times New Roman" w:cs="Times New Roman"/>
                <w:color w:val="000000"/>
                <w:sz w:val="22"/>
              </w:rPr>
              <w:t>Cyptoraptor</w:t>
            </w: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single" w:sz="4" w:space="0" w:color="auto"/>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AES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50%</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DES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SM4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TWOFISH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30%</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RC5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BLOWFISH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 xml:space="preserve">　</w:t>
            </w: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hAnsi="Times New Roman" w:cs="Times New Roman"/>
                <w:color w:val="00000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宋体" w:hAnsi="Times New Roman" w:cs="Times New Roman"/>
                <w:color w:val="000000"/>
                <w:kern w:val="0"/>
                <w:sz w:val="22"/>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nil"/>
              <w:left w:val="nil"/>
              <w:bottom w:val="nil"/>
              <w:right w:val="nil"/>
            </w:tcBorders>
            <w:vAlign w:val="center"/>
          </w:tcPr>
          <w:p w:rsidR="001A1372" w:rsidRDefault="001A1372" w:rsidP="001A1372">
            <w:pPr>
              <w:rPr>
                <w:rFonts w:ascii="Times New Roman" w:eastAsia="宋体" w:hAnsi="Times New Roman" w:cs="Times New Roman"/>
                <w:color w:val="000000"/>
                <w:sz w:val="22"/>
              </w:rPr>
            </w:pPr>
            <w:r>
              <w:rPr>
                <w:rFonts w:ascii="Times New Roman" w:hAnsi="Times New Roman" w:cs="Times New Roman"/>
                <w:color w:val="000000"/>
                <w:sz w:val="22"/>
              </w:rPr>
              <w:t>RCPA</w:t>
            </w: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414"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rsidR="001A1372" w:rsidRPr="003675D3" w:rsidRDefault="001A1372" w:rsidP="001A1372">
            <w:pPr>
              <w:widowControl/>
              <w:jc w:val="left"/>
              <w:rPr>
                <w:rFonts w:ascii="Times New Roman" w:eastAsia="Times New Roman" w:hAnsi="Times New Roman" w:cs="Times New Roman"/>
                <w:kern w:val="0"/>
                <w:sz w:val="20"/>
                <w:szCs w:val="20"/>
              </w:rPr>
            </w:pPr>
          </w:p>
        </w:tc>
      </w:tr>
      <w:tr w:rsidR="001A1372" w:rsidRPr="003675D3" w:rsidTr="007E1D13">
        <w:trPr>
          <w:trHeight w:val="300"/>
        </w:trPr>
        <w:tc>
          <w:tcPr>
            <w:tcW w:w="1080" w:type="dxa"/>
            <w:tcBorders>
              <w:top w:val="single" w:sz="4" w:space="0" w:color="auto"/>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AES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DES</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8%</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8%</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SM4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TWOFISH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15%</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RC5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6%</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r w:rsidR="001A1372" w:rsidRPr="003675D3" w:rsidTr="007E1D13">
        <w:trPr>
          <w:trHeight w:val="300"/>
        </w:trPr>
        <w:tc>
          <w:tcPr>
            <w:tcW w:w="1080" w:type="dxa"/>
            <w:tcBorders>
              <w:top w:val="nil"/>
              <w:left w:val="single" w:sz="4" w:space="0" w:color="auto"/>
              <w:bottom w:val="single" w:sz="4" w:space="0" w:color="auto"/>
              <w:right w:val="single" w:sz="4" w:space="0" w:color="auto"/>
            </w:tcBorders>
            <w:vAlign w:val="center"/>
          </w:tcPr>
          <w:p w:rsidR="001A1372" w:rsidRDefault="001A1372" w:rsidP="001A1372">
            <w:pPr>
              <w:rPr>
                <w:rFonts w:ascii="Times New Roman" w:hAnsi="Times New Roman" w:cs="Times New Roman"/>
                <w:color w:val="000000"/>
                <w:sz w:val="22"/>
              </w:rPr>
            </w:pPr>
            <w:r>
              <w:rPr>
                <w:rFonts w:ascii="Times New Roman" w:hAnsi="Times New Roman" w:cs="Times New Roman"/>
                <w:color w:val="000000"/>
                <w:sz w:val="22"/>
              </w:rPr>
              <w:t>BLOWFISH</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13%</w:t>
            </w:r>
          </w:p>
        </w:tc>
        <w:tc>
          <w:tcPr>
            <w:tcW w:w="1414"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1A1372" w:rsidRPr="003675D3" w:rsidRDefault="001A1372" w:rsidP="001A1372">
            <w:pPr>
              <w:widowControl/>
              <w:jc w:val="right"/>
              <w:rPr>
                <w:rFonts w:ascii="Times New Roman" w:eastAsia="宋体" w:hAnsi="Times New Roman" w:cs="Times New Roman"/>
                <w:color w:val="000000"/>
                <w:kern w:val="0"/>
                <w:sz w:val="22"/>
              </w:rPr>
            </w:pPr>
            <w:r w:rsidRPr="003675D3">
              <w:rPr>
                <w:rFonts w:ascii="Times New Roman" w:eastAsia="宋体" w:hAnsi="Times New Roman" w:cs="Times New Roman"/>
                <w:color w:val="000000"/>
                <w:kern w:val="0"/>
                <w:sz w:val="22"/>
              </w:rPr>
              <w:t>0%</w:t>
            </w:r>
          </w:p>
        </w:tc>
      </w:tr>
    </w:tbl>
    <w:p w:rsidR="006526E5" w:rsidRPr="006526E5" w:rsidRDefault="006526E5" w:rsidP="00076BAD">
      <w:pPr>
        <w:widowControl/>
        <w:shd w:val="clear" w:color="auto" w:fill="FFFFFF"/>
        <w:spacing w:line="315" w:lineRule="atLeast"/>
        <w:jc w:val="left"/>
        <w:rPr>
          <w:rFonts w:asciiTheme="minorEastAsia" w:hAnsiTheme="minorEastAsia" w:cs="宋体" w:hint="eastAsia"/>
          <w:color w:val="000000"/>
          <w:kern w:val="0"/>
          <w:szCs w:val="21"/>
        </w:rPr>
      </w:pPr>
    </w:p>
    <w:p w:rsidR="006E7BD0" w:rsidRPr="001A1372" w:rsidRDefault="006E7BD0" w:rsidP="001A1372">
      <w:pPr>
        <w:ind w:rightChars="50" w:right="105"/>
        <w:jc w:val="left"/>
        <w:rPr>
          <w:rFonts w:ascii="宋体" w:hAnsi="宋体"/>
          <w:szCs w:val="21"/>
        </w:rPr>
      </w:pPr>
      <w:r w:rsidRPr="001A1372">
        <w:rPr>
          <w:rFonts w:ascii="宋体" w:hAnsi="宋体" w:hint="eastAsia"/>
          <w:szCs w:val="21"/>
        </w:rPr>
        <w:t>只关注单个PE设计，没有考虑功能单元之间的拓扑关系</w:t>
      </w:r>
    </w:p>
    <w:p w:rsidR="002033A1" w:rsidRPr="001A1372" w:rsidRDefault="002033A1" w:rsidP="001A1372">
      <w:pPr>
        <w:ind w:rightChars="50" w:right="105" w:firstLineChars="200" w:firstLine="420"/>
        <w:jc w:val="left"/>
        <w:rPr>
          <w:rFonts w:ascii="宋体" w:hAnsi="宋体"/>
          <w:szCs w:val="21"/>
        </w:rPr>
      </w:pPr>
      <w:r w:rsidRPr="001A1372">
        <w:rPr>
          <w:rFonts w:ascii="宋体" w:hAnsi="宋体" w:hint="eastAsia"/>
          <w:szCs w:val="21"/>
        </w:rPr>
        <w:t>在当前的功能单元设计中，考虑的是算法中使用了哪些功能单元以及这些功能单元的</w:t>
      </w:r>
      <w:r w:rsidRPr="001A1372">
        <w:rPr>
          <w:rFonts w:ascii="宋体" w:hAnsi="宋体" w:hint="eastAsia"/>
          <w:szCs w:val="21"/>
        </w:rPr>
        <w:lastRenderedPageBreak/>
        <w:t>简单组合</w:t>
      </w:r>
      <w:r w:rsidR="007C3AE0" w:rsidRPr="001A1372">
        <w:rPr>
          <w:rFonts w:ascii="宋体" w:hAnsi="宋体" w:hint="eastAsia"/>
          <w:szCs w:val="21"/>
        </w:rPr>
        <w:t>，然后将这些功能单元堆砌</w:t>
      </w:r>
      <w:r w:rsidRPr="001A1372">
        <w:rPr>
          <w:rFonts w:ascii="宋体" w:hAnsi="宋体" w:hint="eastAsia"/>
          <w:szCs w:val="21"/>
        </w:rPr>
        <w:t>在同一个PE中，形成一个同构的阵列架构。这样做的好处是在算法需要某个功能时，对应位置的PE就能提供所需的功能，其它位置的PE中这些功能单元就会被闲置。比如对于AES算法，假设映射时算法的一个轮函数被映射到3行中，如果一行中有4个PE，那么</w:t>
      </w:r>
      <w:r w:rsidR="007C3AE0" w:rsidRPr="001A1372">
        <w:rPr>
          <w:rFonts w:ascii="宋体" w:hAnsi="宋体" w:hint="eastAsia"/>
          <w:szCs w:val="21"/>
        </w:rPr>
        <w:t>就有3x4=12个PE；AES算法中查表的操作会被映射到4个PE中，那么其它的8个PE中的查表单元就会被闲置，对于其他的功能单元也会有类似的闲置发生，而且闲置的单元数目会远远多于被使用的数目。在有些时候，为了兼顾多种算法，闲置是不可避免的，但是通过研究足够多的算法的功能单元拓扑结构，从中找出这些算法拓扑之间的共性，可以在某种程度上减少闲置的发生。</w:t>
      </w:r>
    </w:p>
    <w:p w:rsidR="00076BAD" w:rsidRPr="00076BAD" w:rsidRDefault="00076BAD" w:rsidP="007C3AE0">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目标</w:t>
      </w:r>
      <w:r>
        <w:rPr>
          <w:rFonts w:asciiTheme="minorEastAsia" w:hAnsiTheme="minorEastAsia" w:cs="宋体" w:hint="eastAsia"/>
          <w:color w:val="000000"/>
          <w:kern w:val="0"/>
          <w:szCs w:val="21"/>
        </w:rPr>
        <w:t>：</w:t>
      </w:r>
    </w:p>
    <w:p w:rsidR="00076BAD" w:rsidRDefault="00076BAD" w:rsidP="007C3AE0">
      <w:pPr>
        <w:ind w:rightChars="50" w:right="105"/>
        <w:jc w:val="left"/>
        <w:rPr>
          <w:rFonts w:ascii="宋体" w:hAnsi="宋体"/>
          <w:szCs w:val="21"/>
        </w:rPr>
      </w:pPr>
      <w:r>
        <w:rPr>
          <w:rFonts w:ascii="宋体" w:hAnsi="宋体" w:hint="eastAsia"/>
          <w:szCs w:val="21"/>
        </w:rPr>
        <w:t>针对当前项目中和学术论文中的架构，新的PE</w:t>
      </w:r>
      <w:r w:rsidR="000970A4">
        <w:rPr>
          <w:rFonts w:ascii="宋体" w:hAnsi="宋体" w:hint="eastAsia"/>
          <w:szCs w:val="21"/>
        </w:rPr>
        <w:t>设计方案在整体的</w:t>
      </w:r>
      <w:r>
        <w:rPr>
          <w:rFonts w:ascii="宋体" w:hAnsi="宋体" w:hint="eastAsia"/>
          <w:szCs w:val="21"/>
        </w:rPr>
        <w:t>性能</w:t>
      </w:r>
      <w:r w:rsidR="000970A4">
        <w:rPr>
          <w:rFonts w:ascii="宋体" w:hAnsi="宋体" w:hint="eastAsia"/>
          <w:szCs w:val="21"/>
        </w:rPr>
        <w:t>面积</w:t>
      </w:r>
      <w:r>
        <w:rPr>
          <w:rFonts w:ascii="宋体" w:hAnsi="宋体" w:hint="eastAsia"/>
          <w:szCs w:val="21"/>
        </w:rPr>
        <w:t>比上有30%</w:t>
      </w:r>
      <w:r>
        <w:rPr>
          <w:rFonts w:ascii="宋体" w:hAnsi="宋体"/>
          <w:szCs w:val="21"/>
        </w:rPr>
        <w:t>以上的提升</w:t>
      </w:r>
      <w:r>
        <w:rPr>
          <w:rFonts w:ascii="宋体" w:hAnsi="宋体" w:hint="eastAsia"/>
          <w:szCs w:val="21"/>
        </w:rPr>
        <w:t>。</w:t>
      </w:r>
    </w:p>
    <w:p w:rsidR="001A1372" w:rsidRDefault="001A1372" w:rsidP="007C3AE0">
      <w:pPr>
        <w:ind w:rightChars="50" w:right="105"/>
        <w:jc w:val="left"/>
        <w:rPr>
          <w:rFonts w:ascii="宋体" w:hAnsi="宋体"/>
          <w:szCs w:val="21"/>
        </w:rPr>
      </w:pPr>
    </w:p>
    <w:p w:rsidR="001A1372" w:rsidRDefault="001A1372" w:rsidP="007C3AE0">
      <w:pPr>
        <w:ind w:rightChars="50" w:right="105"/>
        <w:jc w:val="left"/>
        <w:rPr>
          <w:rFonts w:ascii="宋体" w:hAnsi="宋体"/>
          <w:szCs w:val="21"/>
        </w:rPr>
      </w:pPr>
    </w:p>
    <w:p w:rsidR="001A1372" w:rsidRPr="00076BAD" w:rsidRDefault="001A1372" w:rsidP="007C3AE0">
      <w:pPr>
        <w:ind w:rightChars="50" w:right="105"/>
        <w:jc w:val="left"/>
        <w:rPr>
          <w:rFonts w:ascii="宋体" w:hAnsi="宋体" w:hint="eastAsia"/>
          <w:szCs w:val="21"/>
        </w:rPr>
      </w:pPr>
    </w:p>
    <w:p w:rsidR="007C3AE0" w:rsidRDefault="00076BAD" w:rsidP="00076BAD">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解决思路</w:t>
      </w:r>
      <w:r>
        <w:rPr>
          <w:rFonts w:asciiTheme="minorEastAsia" w:hAnsiTheme="minorEastAsia" w:cs="宋体" w:hint="eastAsia"/>
          <w:color w:val="000000"/>
          <w:kern w:val="0"/>
          <w:szCs w:val="21"/>
        </w:rPr>
        <w:t>：</w:t>
      </w:r>
    </w:p>
    <w:p w:rsidR="00076BAD" w:rsidRDefault="00076BAD" w:rsidP="00076BAD">
      <w:pPr>
        <w:ind w:rightChars="50" w:right="105"/>
        <w:jc w:val="left"/>
        <w:rPr>
          <w:rFonts w:ascii="宋体" w:hAnsi="宋体"/>
          <w:szCs w:val="21"/>
        </w:rPr>
      </w:pPr>
      <w:r>
        <w:rPr>
          <w:rFonts w:ascii="宋体" w:hAnsi="宋体"/>
          <w:szCs w:val="21"/>
        </w:rPr>
        <w:t>本课题提出的PE设计方案</w:t>
      </w:r>
      <w:r>
        <w:rPr>
          <w:rFonts w:ascii="宋体" w:hAnsi="宋体" w:hint="eastAsia"/>
          <w:szCs w:val="21"/>
        </w:rPr>
        <w:t>，在优化PE</w:t>
      </w:r>
      <w:r>
        <w:rPr>
          <w:rFonts w:ascii="宋体" w:hAnsi="宋体"/>
          <w:szCs w:val="21"/>
        </w:rPr>
        <w:t>内部功能单元设计的同时对各个功能单元在阵列中出现的拓扑关系进行了布局</w:t>
      </w:r>
      <w:r w:rsidR="001A1372">
        <w:rPr>
          <w:rFonts w:ascii="宋体" w:hAnsi="宋体" w:hint="eastAsia"/>
          <w:szCs w:val="21"/>
        </w:rPr>
        <w:t>，减少在算法映射时冗余</w:t>
      </w:r>
      <w:r>
        <w:rPr>
          <w:rFonts w:ascii="宋体" w:hAnsi="宋体" w:hint="eastAsia"/>
          <w:szCs w:val="21"/>
        </w:rPr>
        <w:t>的发生，提高了功能单元的利用率，从而有效地提升了整个架构的面积效率。</w:t>
      </w:r>
    </w:p>
    <w:p w:rsidR="00076BAD" w:rsidRDefault="00076BAD" w:rsidP="00076BAD">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方法</w:t>
      </w:r>
      <w:r>
        <w:rPr>
          <w:rFonts w:asciiTheme="minorEastAsia" w:hAnsiTheme="minorEastAsia" w:cs="宋体" w:hint="eastAsia"/>
          <w:color w:val="000000"/>
          <w:kern w:val="0"/>
          <w:szCs w:val="21"/>
        </w:rPr>
        <w:t>：</w:t>
      </w:r>
    </w:p>
    <w:p w:rsidR="001A1372" w:rsidRPr="001A1372" w:rsidRDefault="006F2FC4" w:rsidP="001A1372">
      <w:pPr>
        <w:pStyle w:val="a5"/>
        <w:numPr>
          <w:ilvl w:val="0"/>
          <w:numId w:val="3"/>
        </w:numPr>
        <w:ind w:rightChars="50" w:right="105" w:firstLineChars="0"/>
        <w:jc w:val="left"/>
        <w:rPr>
          <w:rFonts w:asciiTheme="minorEastAsia" w:hAnsiTheme="minorEastAsia" w:cs="宋体" w:hint="eastAsia"/>
          <w:color w:val="000000"/>
          <w:kern w:val="0"/>
          <w:szCs w:val="21"/>
        </w:rPr>
      </w:pPr>
      <w:r w:rsidRPr="00420487">
        <w:rPr>
          <w:rFonts w:asciiTheme="minorEastAsia" w:hAnsiTheme="minorEastAsia" w:cs="宋体"/>
          <w:color w:val="000000"/>
          <w:kern w:val="0"/>
          <w:szCs w:val="21"/>
        </w:rPr>
        <w:t>算法</w:t>
      </w:r>
      <w:r w:rsidR="001A1372">
        <w:rPr>
          <w:rFonts w:asciiTheme="minorEastAsia" w:hAnsiTheme="minorEastAsia" w:cs="宋体" w:hint="eastAsia"/>
          <w:color w:val="000000"/>
          <w:kern w:val="0"/>
          <w:szCs w:val="21"/>
        </w:rPr>
        <w:t>aoe加模、</w:t>
      </w:r>
      <w:r w:rsidRPr="00420487">
        <w:rPr>
          <w:rFonts w:asciiTheme="minorEastAsia" w:hAnsiTheme="minorEastAsia" w:cs="宋体"/>
          <w:color w:val="000000"/>
          <w:kern w:val="0"/>
          <w:szCs w:val="21"/>
        </w:rPr>
        <w:t>特征提取</w:t>
      </w:r>
      <w:r w:rsidRPr="00420487">
        <w:rPr>
          <w:rFonts w:asciiTheme="minorEastAsia" w:hAnsiTheme="minorEastAsia" w:cs="宋体" w:hint="eastAsia"/>
          <w:color w:val="000000"/>
          <w:kern w:val="0"/>
          <w:szCs w:val="21"/>
        </w:rPr>
        <w:t>：</w:t>
      </w:r>
      <w:r w:rsidR="001A1372" w:rsidRPr="00420487">
        <w:rPr>
          <w:rFonts w:asciiTheme="minorEastAsia" w:hAnsiTheme="minorEastAsia" w:cs="宋体" w:hint="eastAsia"/>
          <w:color w:val="000000"/>
          <w:kern w:val="0"/>
          <w:szCs w:val="21"/>
        </w:rPr>
        <w:t>建立了一个图模型来描述所有的分组加密算法</w:t>
      </w:r>
      <w:r w:rsidR="001A1372">
        <w:rPr>
          <w:rFonts w:asciiTheme="minorEastAsia" w:hAnsiTheme="minorEastAsia" w:cs="宋体" w:hint="eastAsia"/>
          <w:color w:val="000000"/>
          <w:kern w:val="0"/>
          <w:szCs w:val="21"/>
        </w:rPr>
        <w:t>，提取算法特征。主要涉及三列特征</w:t>
      </w:r>
      <w:r w:rsidR="001A1372" w:rsidRPr="001C517B">
        <w:rPr>
          <w:lang w:val="x-none"/>
        </w:rPr>
        <w:t>参数特征</w:t>
      </w:r>
      <w:r w:rsidR="001A1372" w:rsidRPr="001C517B">
        <w:rPr>
          <w:rFonts w:hint="eastAsia"/>
          <w:lang w:val="x-none"/>
        </w:rPr>
        <w:t>、</w:t>
      </w:r>
      <w:r w:rsidR="001A1372" w:rsidRPr="001C517B">
        <w:rPr>
          <w:lang w:val="x-none"/>
        </w:rPr>
        <w:t>组合特征</w:t>
      </w:r>
      <w:r w:rsidR="001A1372" w:rsidRPr="001C517B">
        <w:rPr>
          <w:rFonts w:hint="eastAsia"/>
          <w:lang w:val="x-none"/>
        </w:rPr>
        <w:t>、</w:t>
      </w:r>
      <w:r w:rsidR="001A1372" w:rsidRPr="001C517B">
        <w:rPr>
          <w:lang w:val="x-none"/>
        </w:rPr>
        <w:t>拓扑特征</w:t>
      </w:r>
    </w:p>
    <w:p w:rsidR="006F2FC4" w:rsidRPr="00420487" w:rsidRDefault="006F2FC4"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PE设计方案</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根据提取的算法特征</w:t>
      </w:r>
      <w:r w:rsidRPr="00420487">
        <w:rPr>
          <w:rFonts w:asciiTheme="minorEastAsia" w:hAnsiTheme="minorEastAsia" w:cs="宋体" w:hint="eastAsia"/>
          <w:color w:val="000000"/>
          <w:kern w:val="0"/>
          <w:szCs w:val="21"/>
        </w:rPr>
        <w:t>，进行功能单元设计，组合设计，拓扑设计。</w:t>
      </w:r>
    </w:p>
    <w:p w:rsidR="006F2FC4" w:rsidRPr="00420487" w:rsidRDefault="001A1372" w:rsidP="00420487">
      <w:pPr>
        <w:pStyle w:val="a5"/>
        <w:numPr>
          <w:ilvl w:val="0"/>
          <w:numId w:val="3"/>
        </w:numPr>
        <w:ind w:rightChars="50" w:right="105"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算法aov建模</w:t>
      </w:r>
      <w:r>
        <w:rPr>
          <w:rFonts w:asciiTheme="minorEastAsia" w:hAnsiTheme="minorEastAsia" w:cs="宋体" w:hint="eastAsia"/>
          <w:color w:val="000000"/>
          <w:kern w:val="0"/>
          <w:szCs w:val="21"/>
        </w:rPr>
        <w:t>、</w:t>
      </w:r>
      <w:r w:rsidR="006F2FC4" w:rsidRPr="00420487">
        <w:rPr>
          <w:rFonts w:asciiTheme="minorEastAsia" w:hAnsiTheme="minorEastAsia" w:cs="宋体"/>
          <w:color w:val="000000"/>
          <w:kern w:val="0"/>
          <w:szCs w:val="21"/>
        </w:rPr>
        <w:t>架构建模</w:t>
      </w:r>
      <w:r w:rsidR="006F2FC4" w:rsidRPr="00420487">
        <w:rPr>
          <w:rFonts w:asciiTheme="minorEastAsia" w:hAnsiTheme="minorEastAsia" w:cs="宋体" w:hint="eastAsia"/>
          <w:color w:val="000000"/>
          <w:kern w:val="0"/>
          <w:szCs w:val="21"/>
        </w:rPr>
        <w:t>：建立了一个图模型来描述阵列架构</w:t>
      </w:r>
      <w:r>
        <w:rPr>
          <w:rFonts w:asciiTheme="minorEastAsia" w:hAnsiTheme="minorEastAsia" w:cs="宋体" w:hint="eastAsia"/>
          <w:color w:val="000000"/>
          <w:kern w:val="0"/>
          <w:szCs w:val="21"/>
        </w:rPr>
        <w:t>和算法，这个算法模aov型和</w:t>
      </w:r>
      <w:r w:rsidR="006F2FC4" w:rsidRPr="00420487">
        <w:rPr>
          <w:rFonts w:asciiTheme="minorEastAsia" w:hAnsiTheme="minorEastAsia" w:cs="宋体" w:hint="eastAsia"/>
          <w:color w:val="000000"/>
          <w:kern w:val="0"/>
          <w:szCs w:val="21"/>
        </w:rPr>
        <w:t>阵列架构的图模型会作为映射验证算法的输入。</w:t>
      </w:r>
    </w:p>
    <w:p w:rsidR="006F2FC4" w:rsidRPr="00420487" w:rsidRDefault="006F2FC4"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映射验证和进一步优化</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将建模的算法图模型集合映射到阵列架构图模型上</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分析映射结果</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对架构中可能存在的闲置单元进行进一步优化</w:t>
      </w:r>
      <w:r w:rsidR="00420487" w:rsidRPr="00420487">
        <w:rPr>
          <w:rFonts w:asciiTheme="minorEastAsia" w:hAnsiTheme="minorEastAsia" w:cs="宋体" w:hint="eastAsia"/>
          <w:color w:val="000000"/>
          <w:kern w:val="0"/>
          <w:szCs w:val="21"/>
        </w:rPr>
        <w:t>。</w:t>
      </w:r>
    </w:p>
    <w:p w:rsidR="00420487" w:rsidRPr="00420487" w:rsidRDefault="00420487"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hint="eastAsia"/>
          <w:color w:val="000000"/>
          <w:kern w:val="0"/>
          <w:szCs w:val="21"/>
        </w:rPr>
        <w:t>设计实现：RTL实现最终方案，仿真、综合。</w:t>
      </w:r>
    </w:p>
    <w:p w:rsidR="00420487" w:rsidRPr="00420487" w:rsidRDefault="00420487"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结果对比</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与项目中</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学术论文中的架构进行对比</w:t>
      </w:r>
      <w:r w:rsidRPr="00420487">
        <w:rPr>
          <w:rFonts w:asciiTheme="minorEastAsia" w:hAnsiTheme="minorEastAsia" w:cs="宋体" w:hint="eastAsia"/>
          <w:color w:val="000000"/>
          <w:kern w:val="0"/>
          <w:szCs w:val="21"/>
        </w:rPr>
        <w:t>。</w:t>
      </w:r>
    </w:p>
    <w:p w:rsidR="00E91190" w:rsidRDefault="00ED66F6" w:rsidP="00ED66F6">
      <w:pPr>
        <w:widowControl/>
        <w:shd w:val="clear" w:color="auto" w:fill="FFFFFF"/>
        <w:spacing w:line="315" w:lineRule="atLeast"/>
        <w:jc w:val="center"/>
        <w:rPr>
          <w:rFonts w:asciiTheme="minorEastAsia" w:hAnsiTheme="minorEastAsia" w:cs="宋体"/>
          <w:color w:val="000000"/>
          <w:kern w:val="0"/>
          <w:szCs w:val="21"/>
        </w:rPr>
      </w:pPr>
      <w:r>
        <w:object w:dxaOrig="6031" w:dyaOrig="6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6pt;height:305pt" o:ole="">
            <v:imagedata r:id="rId7" o:title=""/>
          </v:shape>
          <o:OLEObject Type="Embed" ProgID="Visio.Drawing.15" ShapeID="_x0000_i1025" DrawAspect="Content" ObjectID="_1520279003" r:id="rId8"/>
        </w:object>
      </w:r>
    </w:p>
    <w:p w:rsidR="001A1372" w:rsidRDefault="001A1372" w:rsidP="00E91190">
      <w:pPr>
        <w:widowControl/>
        <w:shd w:val="clear" w:color="auto" w:fill="FFFFFF"/>
        <w:spacing w:line="315" w:lineRule="atLeast"/>
        <w:jc w:val="left"/>
        <w:rPr>
          <w:rFonts w:asciiTheme="minorEastAsia" w:hAnsiTheme="minorEastAsia" w:cs="宋体"/>
          <w:color w:val="000000"/>
          <w:kern w:val="0"/>
          <w:szCs w:val="21"/>
        </w:rPr>
      </w:pPr>
    </w:p>
    <w:p w:rsidR="001A1372" w:rsidRDefault="00ED66F6" w:rsidP="00E91190">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w:t>
      </w:r>
      <w:r w:rsidRPr="00ED66F6">
        <w:rPr>
          <w:rFonts w:asciiTheme="minorEastAsia" w:hAnsiTheme="minorEastAsia" w:cs="宋体"/>
          <w:color w:val="000000"/>
          <w:kern w:val="0"/>
          <w:szCs w:val="21"/>
        </w:rPr>
        <w:t xml:space="preserve"> </w:t>
      </w:r>
      <w:r w:rsidRPr="00420487">
        <w:rPr>
          <w:rFonts w:asciiTheme="minorEastAsia" w:hAnsiTheme="minorEastAsia" w:cs="宋体"/>
          <w:color w:val="000000"/>
          <w:kern w:val="0"/>
          <w:szCs w:val="21"/>
        </w:rPr>
        <w:t>算法</w:t>
      </w:r>
      <w:r>
        <w:rPr>
          <w:rFonts w:asciiTheme="minorEastAsia" w:hAnsiTheme="minorEastAsia" w:cs="宋体" w:hint="eastAsia"/>
          <w:color w:val="000000"/>
          <w:kern w:val="0"/>
          <w:szCs w:val="21"/>
        </w:rPr>
        <w:t>aoe加模、</w:t>
      </w:r>
      <w:r w:rsidRPr="00420487">
        <w:rPr>
          <w:rFonts w:asciiTheme="minorEastAsia" w:hAnsiTheme="minorEastAsia" w:cs="宋体"/>
          <w:color w:val="000000"/>
          <w:kern w:val="0"/>
          <w:szCs w:val="21"/>
        </w:rPr>
        <w:t>特征提取</w:t>
      </w:r>
    </w:p>
    <w:p w:rsidR="001A1372" w:rsidRDefault="001A1372" w:rsidP="00E91190">
      <w:pPr>
        <w:widowControl/>
        <w:shd w:val="clear" w:color="auto" w:fill="FFFFFF"/>
        <w:spacing w:line="315" w:lineRule="atLeast"/>
        <w:jc w:val="left"/>
        <w:rPr>
          <w:rFonts w:asciiTheme="minorEastAsia" w:hAnsiTheme="minorEastAsia" w:cs="宋体"/>
          <w:color w:val="000000"/>
          <w:kern w:val="0"/>
          <w:szCs w:val="21"/>
        </w:rPr>
      </w:pPr>
      <w:bookmarkStart w:id="0" w:name="_GoBack"/>
      <w:bookmarkEnd w:id="0"/>
    </w:p>
    <w:p w:rsidR="00ED66F6" w:rsidRDefault="00ED66F6" w:rsidP="00E91190">
      <w:pPr>
        <w:widowControl/>
        <w:shd w:val="clear" w:color="auto" w:fill="FFFFFF"/>
        <w:spacing w:line="315" w:lineRule="atLeast"/>
        <w:jc w:val="left"/>
        <w:rPr>
          <w:rFonts w:asciiTheme="minorEastAsia" w:hAnsiTheme="minorEastAsia" w:cs="宋体"/>
          <w:color w:val="000000"/>
          <w:kern w:val="0"/>
          <w:szCs w:val="21"/>
        </w:rPr>
      </w:pPr>
    </w:p>
    <w:p w:rsidR="00ED66F6" w:rsidRDefault="00ED66F6" w:rsidP="00E91190">
      <w:pPr>
        <w:widowControl/>
        <w:shd w:val="clear" w:color="auto" w:fill="FFFFFF"/>
        <w:spacing w:line="315" w:lineRule="atLeast"/>
        <w:jc w:val="left"/>
        <w:rPr>
          <w:rFonts w:asciiTheme="minorEastAsia" w:hAnsiTheme="minorEastAsia" w:cs="宋体"/>
          <w:color w:val="000000"/>
          <w:kern w:val="0"/>
          <w:szCs w:val="21"/>
        </w:rPr>
      </w:pPr>
    </w:p>
    <w:p w:rsidR="00ED66F6" w:rsidRDefault="00ED66F6" w:rsidP="00E91190">
      <w:pPr>
        <w:widowControl/>
        <w:shd w:val="clear" w:color="auto" w:fill="FFFFFF"/>
        <w:spacing w:line="315" w:lineRule="atLeast"/>
        <w:jc w:val="left"/>
        <w:rPr>
          <w:rFonts w:asciiTheme="minorEastAsia" w:hAnsiTheme="minorEastAsia" w:cs="宋体"/>
          <w:color w:val="000000"/>
          <w:kern w:val="0"/>
          <w:szCs w:val="21"/>
        </w:rPr>
      </w:pPr>
    </w:p>
    <w:p w:rsidR="00ED66F6" w:rsidRDefault="00ED66F6" w:rsidP="00E91190">
      <w:pPr>
        <w:widowControl/>
        <w:shd w:val="clear" w:color="auto" w:fill="FFFFFF"/>
        <w:spacing w:line="315" w:lineRule="atLeast"/>
        <w:jc w:val="left"/>
        <w:rPr>
          <w:rFonts w:asciiTheme="minorEastAsia" w:hAnsiTheme="minorEastAsia" w:cs="宋体" w:hint="eastAsia"/>
          <w:color w:val="000000"/>
          <w:kern w:val="0"/>
          <w:szCs w:val="21"/>
        </w:rPr>
      </w:pPr>
    </w:p>
    <w:p w:rsidR="001A1372" w:rsidRDefault="001A1372" w:rsidP="00E91190">
      <w:pPr>
        <w:widowControl/>
        <w:shd w:val="clear" w:color="auto" w:fill="FFFFFF"/>
        <w:spacing w:line="315" w:lineRule="atLeast"/>
        <w:jc w:val="left"/>
        <w:rPr>
          <w:rFonts w:asciiTheme="minorEastAsia" w:hAnsiTheme="minorEastAsia" w:cs="宋体"/>
          <w:color w:val="000000"/>
          <w:kern w:val="0"/>
          <w:szCs w:val="21"/>
        </w:rPr>
      </w:pPr>
    </w:p>
    <w:p w:rsidR="001A1372" w:rsidRPr="00F33773" w:rsidRDefault="001A1372" w:rsidP="00E91190">
      <w:pPr>
        <w:widowControl/>
        <w:shd w:val="clear" w:color="auto" w:fill="FFFFFF"/>
        <w:spacing w:line="315" w:lineRule="atLeast"/>
        <w:jc w:val="left"/>
        <w:rPr>
          <w:rFonts w:asciiTheme="minorEastAsia" w:hAnsiTheme="minorEastAsia" w:cs="宋体" w:hint="eastAsia"/>
          <w:color w:val="000000"/>
          <w:kern w:val="0"/>
          <w:szCs w:val="21"/>
        </w:rPr>
      </w:pPr>
    </w:p>
    <w:p w:rsidR="00500D0C" w:rsidRDefault="00500D0C" w:rsidP="00500D0C">
      <w:pPr>
        <w:pStyle w:val="a5"/>
        <w:widowControl/>
        <w:numPr>
          <w:ilvl w:val="0"/>
          <w:numId w:val="1"/>
        </w:numPr>
        <w:shd w:val="clear" w:color="auto" w:fill="FFFFFF"/>
        <w:spacing w:line="315" w:lineRule="atLeast"/>
        <w:ind w:firstLineChars="0"/>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明确列出对比对象、对比目标的指标和代价、对比方案、对比条件以及对比结果。</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对比对象的目标水平为工业界当前一流水平或学术界2年前一流水平。自行复现的对比对象需要验证正确性。</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对比目标在指标和代价上必须量化，局部的间接指标必须能够反映到系统指标。</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对比方案描述仿真验证或真实系统测试的基本思路和步骤。</w:t>
      </w:r>
    </w:p>
    <w:p w:rsidR="00500D0C" w:rsidRPr="0075475B"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对比条件描述仿真模型或真实系统的配置和参数设置，以及测试输入向量（仿真或真实数据）。</w:t>
      </w:r>
    </w:p>
    <w:p w:rsidR="001706DC"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对比结果通过图表方式展示，有分析结论。</w:t>
      </w:r>
    </w:p>
    <w:p w:rsidR="0075475B" w:rsidRDefault="0075475B" w:rsidP="0075475B">
      <w:pPr>
        <w:widowControl/>
        <w:shd w:val="clear" w:color="auto" w:fill="FFFFFF"/>
        <w:spacing w:line="315" w:lineRule="atLeast"/>
        <w:jc w:val="left"/>
        <w:rPr>
          <w:rFonts w:asciiTheme="minorEastAsia" w:hAnsiTheme="minorEastAsia" w:cs="宋体"/>
          <w:color w:val="000000"/>
          <w:kern w:val="0"/>
          <w:szCs w:val="21"/>
        </w:rPr>
      </w:pPr>
    </w:p>
    <w:p w:rsidR="00DD4A55" w:rsidRDefault="00DD4A55" w:rsidP="00DD4A55">
      <w:pPr>
        <w:widowControl/>
        <w:shd w:val="clear" w:color="auto" w:fill="FFFFFF"/>
        <w:spacing w:line="315" w:lineRule="atLeast"/>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表2 不同架构实现算法所需功能单元对比</w:t>
      </w:r>
    </w:p>
    <w:tbl>
      <w:tblPr>
        <w:tblW w:w="3824" w:type="dxa"/>
        <w:tblLook w:val="04A0" w:firstRow="1" w:lastRow="0" w:firstColumn="1" w:lastColumn="0" w:noHBand="0" w:noVBand="1"/>
      </w:tblPr>
      <w:tblGrid>
        <w:gridCol w:w="1341"/>
        <w:gridCol w:w="1096"/>
        <w:gridCol w:w="1096"/>
        <w:gridCol w:w="986"/>
        <w:gridCol w:w="1096"/>
        <w:gridCol w:w="1414"/>
        <w:gridCol w:w="766"/>
      </w:tblGrid>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本文</w:t>
            </w:r>
          </w:p>
        </w:tc>
        <w:tc>
          <w:tcPr>
            <w:tcW w:w="492"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AU</w:t>
            </w:r>
          </w:p>
        </w:tc>
        <w:tc>
          <w:tcPr>
            <w:tcW w:w="492"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SH</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PER</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LOU</w:t>
            </w:r>
          </w:p>
        </w:tc>
        <w:tc>
          <w:tcPr>
            <w:tcW w:w="655"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4*LUT256*8</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GFM</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lastRenderedPageBreak/>
              <w:t>RC5</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TH</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5818E7">
              <w:rPr>
                <w:rFonts w:ascii="Times New Roman" w:eastAsia="宋体" w:hAnsi="Times New Roman" w:cs="Times New Roman" w:hint="eastAsia"/>
                <w:color w:val="000000"/>
                <w:kern w:val="0"/>
                <w:sz w:val="22"/>
              </w:rPr>
              <w:t>(</w:t>
            </w:r>
            <w:r w:rsidR="003512B6">
              <w:rPr>
                <w:rFonts w:ascii="Times New Roman" w:eastAsia="宋体" w:hAnsi="Times New Roman" w:cs="Times New Roman"/>
                <w:color w:val="000000"/>
                <w:kern w:val="0"/>
                <w:sz w:val="22"/>
              </w:rPr>
              <w:t>67</w:t>
            </w:r>
            <w:r w:rsidR="005818E7">
              <w:rPr>
                <w:rFonts w:ascii="Times New Roman" w:eastAsia="宋体" w:hAnsi="Times New Roman" w:cs="Times New Roman"/>
                <w:color w:val="000000"/>
                <w:kern w:val="0"/>
                <w:sz w:val="22"/>
              </w:rPr>
              <w:t>%</w:t>
            </w:r>
            <w:r w:rsidR="005818E7">
              <w:rPr>
                <w:rFonts w:ascii="Times New Roman" w:eastAsia="宋体" w:hAnsi="Times New Roman" w:cs="Times New Roman" w:hint="eastAsia"/>
                <w:color w:val="000000"/>
                <w:kern w:val="0"/>
                <w:sz w:val="22"/>
              </w:rPr>
              <w:t>)</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3512B6">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5818E7">
              <w:rPr>
                <w:rFonts w:ascii="Times New Roman" w:eastAsia="宋体" w:hAnsi="Times New Roman" w:cs="Times New Roman"/>
                <w:color w:val="000000"/>
                <w:kern w:val="0"/>
                <w:sz w:val="22"/>
              </w:rPr>
              <w:t>(</w:t>
            </w:r>
            <w:r w:rsidR="003512B6">
              <w:rPr>
                <w:rFonts w:ascii="Times New Roman" w:eastAsia="宋体" w:hAnsi="Times New Roman" w:cs="Times New Roman"/>
                <w:color w:val="000000"/>
                <w:kern w:val="0"/>
                <w:sz w:val="22"/>
              </w:rPr>
              <w:t>67</w:t>
            </w:r>
            <w:r w:rsidR="005818E7">
              <w:rPr>
                <w:rFonts w:ascii="Times New Roman" w:eastAsia="宋体" w:hAnsi="Times New Roman" w:cs="Times New Roman"/>
                <w:color w:val="000000"/>
                <w:kern w:val="0"/>
                <w:sz w:val="22"/>
              </w:rPr>
              <w:t>%)</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r w:rsidR="005818E7">
              <w:rPr>
                <w:rFonts w:ascii="Times New Roman" w:eastAsia="宋体" w:hAnsi="Times New Roman" w:cs="Times New Roman"/>
                <w:color w:val="000000"/>
                <w:kern w:val="0"/>
                <w:sz w:val="22"/>
              </w:rPr>
              <w:t>(100%)</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48</w:t>
            </w:r>
            <w:r w:rsidR="005818E7">
              <w:rPr>
                <w:rFonts w:ascii="Times New Roman" w:eastAsia="宋体" w:hAnsi="Times New Roman" w:cs="Times New Roman"/>
                <w:color w:val="000000"/>
                <w:kern w:val="0"/>
                <w:sz w:val="22"/>
              </w:rPr>
              <w:t>(400%)</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5818E7">
              <w:rPr>
                <w:rFonts w:ascii="Times New Roman" w:eastAsia="宋体" w:hAnsi="Times New Roman" w:cs="Times New Roman"/>
                <w:color w:val="000000"/>
                <w:kern w:val="0"/>
                <w:sz w:val="22"/>
              </w:rPr>
              <w:t>(400%)</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r w:rsidR="005818E7">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3512B6">
              <w:rPr>
                <w:rFonts w:ascii="Times New Roman" w:eastAsia="宋体" w:hAnsi="Times New Roman" w:cs="Times New Roman" w:hint="eastAsia"/>
                <w:color w:val="000000"/>
                <w:kern w:val="0"/>
                <w:sz w:val="22"/>
              </w:rPr>
              <w:t>(</w:t>
            </w:r>
            <w:r w:rsidR="003512B6">
              <w:rPr>
                <w:rFonts w:ascii="Times New Roman" w:eastAsia="宋体" w:hAnsi="Times New Roman" w:cs="Times New Roman"/>
                <w:color w:val="000000"/>
                <w:kern w:val="0"/>
                <w:sz w:val="22"/>
              </w:rPr>
              <w:t>133%</w:t>
            </w:r>
            <w:r w:rsidR="003512B6">
              <w:rPr>
                <w:rFonts w:ascii="Times New Roman" w:eastAsia="宋体" w:hAnsi="Times New Roman" w:cs="Times New Roman" w:hint="eastAsia"/>
                <w:color w:val="000000"/>
                <w:kern w:val="0"/>
                <w:sz w:val="22"/>
              </w:rPr>
              <w:t>)</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3512B6">
              <w:rPr>
                <w:rFonts w:ascii="Times New Roman" w:eastAsia="宋体" w:hAnsi="Times New Roman" w:cs="Times New Roman"/>
                <w:color w:val="000000"/>
                <w:kern w:val="0"/>
                <w:sz w:val="22"/>
              </w:rPr>
              <w:t>(133%)</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3512B6">
              <w:rPr>
                <w:rFonts w:ascii="Times New Roman" w:eastAsia="宋体" w:hAnsi="Times New Roman" w:cs="Times New Roman"/>
                <w:color w:val="000000"/>
                <w:kern w:val="0"/>
                <w:sz w:val="22"/>
              </w:rPr>
              <w:t>(200%)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r w:rsidR="003512B6">
              <w:rPr>
                <w:rFonts w:ascii="Times New Roman" w:eastAsia="宋体" w:hAnsi="Times New Roman" w:cs="Times New Roman"/>
                <w:color w:val="000000"/>
                <w:kern w:val="0"/>
                <w:sz w:val="22"/>
              </w:rPr>
              <w:t>(800%)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r w:rsidR="003512B6">
              <w:rPr>
                <w:rFonts w:ascii="Times New Roman" w:eastAsia="宋体" w:hAnsi="Times New Roman" w:cs="Times New Roman"/>
                <w:color w:val="000000"/>
                <w:kern w:val="0"/>
                <w:sz w:val="22"/>
              </w:rPr>
              <w:t>(800%)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r w:rsidR="003512B6">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144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48</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Cyptoraptor</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56</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140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RCPA</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r>
    </w:tbl>
    <w:p w:rsidR="0075475B" w:rsidRDefault="0075475B"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Pr="0075475B"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75475B" w:rsidRDefault="00DD4A55" w:rsidP="0075475B">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表3 不同架构实现算法的性能面积比</w:t>
      </w:r>
    </w:p>
    <w:tbl>
      <w:tblPr>
        <w:tblStyle w:val="a6"/>
        <w:tblW w:w="0" w:type="auto"/>
        <w:tblLayout w:type="fixed"/>
        <w:tblLook w:val="04A0" w:firstRow="1" w:lastRow="0" w:firstColumn="1" w:lastColumn="0" w:noHBand="0" w:noVBand="1"/>
      </w:tblPr>
      <w:tblGrid>
        <w:gridCol w:w="846"/>
        <w:gridCol w:w="709"/>
        <w:gridCol w:w="691"/>
        <w:gridCol w:w="1316"/>
        <w:gridCol w:w="1151"/>
        <w:gridCol w:w="527"/>
        <w:gridCol w:w="992"/>
        <w:gridCol w:w="709"/>
        <w:gridCol w:w="1355"/>
      </w:tblGrid>
      <w:tr w:rsidR="002F740D" w:rsidRPr="00706FE9" w:rsidTr="002816A2">
        <w:trPr>
          <w:trHeight w:val="299"/>
        </w:trPr>
        <w:tc>
          <w:tcPr>
            <w:tcW w:w="846" w:type="dxa"/>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架构</w:t>
            </w:r>
          </w:p>
        </w:tc>
        <w:tc>
          <w:tcPr>
            <w:tcW w:w="709" w:type="dxa"/>
          </w:tcPr>
          <w:p w:rsidR="002F740D"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工艺</w:t>
            </w:r>
          </w:p>
        </w:tc>
        <w:tc>
          <w:tcPr>
            <w:tcW w:w="691" w:type="dxa"/>
          </w:tcPr>
          <w:p w:rsidR="002F740D"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主频</w:t>
            </w:r>
          </w:p>
        </w:tc>
        <w:tc>
          <w:tcPr>
            <w:tcW w:w="1316"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算法</w:t>
            </w:r>
          </w:p>
        </w:tc>
        <w:tc>
          <w:tcPr>
            <w:tcW w:w="1151"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映射面积(</w:t>
            </w:r>
            <w:r>
              <w:rPr>
                <w:rFonts w:asciiTheme="minorEastAsia" w:hAnsiTheme="minorEastAsia" w:cs="宋体"/>
                <w:color w:val="000000"/>
                <w:szCs w:val="21"/>
              </w:rPr>
              <w:t>mm^2</w:t>
            </w:r>
            <w:r>
              <w:rPr>
                <w:rFonts w:asciiTheme="minorEastAsia" w:hAnsiTheme="minorEastAsia" w:cs="宋体" w:hint="eastAsia"/>
                <w:color w:val="000000"/>
                <w:szCs w:val="21"/>
              </w:rPr>
              <w:t>)</w:t>
            </w:r>
          </w:p>
        </w:tc>
        <w:tc>
          <w:tcPr>
            <w:tcW w:w="527"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hint="eastAsia"/>
                <w:color w:val="000000"/>
                <w:szCs w:val="21"/>
              </w:rPr>
              <w:t>面积减少</w:t>
            </w:r>
          </w:p>
        </w:tc>
        <w:tc>
          <w:tcPr>
            <w:tcW w:w="992" w:type="dxa"/>
          </w:tcPr>
          <w:p w:rsidR="002F740D" w:rsidRPr="00706FE9" w:rsidRDefault="00E55E05"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算法</w:t>
            </w:r>
            <w:r w:rsidR="002F740D">
              <w:rPr>
                <w:rFonts w:asciiTheme="minorEastAsia" w:hAnsiTheme="minorEastAsia" w:cs="宋体" w:hint="eastAsia"/>
                <w:color w:val="000000"/>
                <w:szCs w:val="21"/>
              </w:rPr>
              <w:t>性能</w:t>
            </w:r>
          </w:p>
        </w:tc>
        <w:tc>
          <w:tcPr>
            <w:tcW w:w="709" w:type="dxa"/>
          </w:tcPr>
          <w:p w:rsidR="002F740D"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性能面积比</w:t>
            </w:r>
          </w:p>
        </w:tc>
        <w:tc>
          <w:tcPr>
            <w:tcW w:w="1355" w:type="dxa"/>
          </w:tcPr>
          <w:p w:rsidR="002F740D" w:rsidRDefault="00BE5CB2"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性能面积比对比</w:t>
            </w: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本文</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0.1929094</w:t>
            </w:r>
          </w:p>
        </w:tc>
        <w:tc>
          <w:tcPr>
            <w:tcW w:w="527" w:type="dxa"/>
            <w:vMerge w:val="restart"/>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0.3858188</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0.2572125</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清华项目中的架构</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0.407476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53%</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1.222428</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D42175" w:rsidRDefault="002F740D" w:rsidP="00D42175">
            <w:pPr>
              <w:widowControl/>
              <w:shd w:val="clear" w:color="auto" w:fill="FFFFFF"/>
              <w:spacing w:line="315" w:lineRule="atLeast"/>
              <w:jc w:val="left"/>
              <w:rPr>
                <w:rFonts w:asciiTheme="minorEastAsia" w:hAnsiTheme="minorEastAsia" w:cs="宋体"/>
                <w:color w:val="000000"/>
                <w:szCs w:val="21"/>
              </w:rPr>
            </w:pPr>
            <w:r w:rsidRPr="00D42175">
              <w:rPr>
                <w:rFonts w:asciiTheme="minorEastAsia" w:hAnsiTheme="minorEastAsia" w:cs="宋体"/>
                <w:color w:val="000000"/>
                <w:szCs w:val="21"/>
              </w:rPr>
              <w:t>Cyptoraptor</w:t>
            </w:r>
          </w:p>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0.873618</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1.310427</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1.747236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89%</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2.184045</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82%</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1.747236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1.310427</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RCPA</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0.3670776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47%</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0.5506164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0.7341552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74%</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0.917694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58%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0.7341552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0.5506164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bl>
    <w:p w:rsidR="00706FE9" w:rsidRPr="0075475B" w:rsidRDefault="00706FE9" w:rsidP="0075475B">
      <w:pPr>
        <w:widowControl/>
        <w:shd w:val="clear" w:color="auto" w:fill="FFFFFF"/>
        <w:spacing w:line="315" w:lineRule="atLeast"/>
        <w:jc w:val="left"/>
        <w:rPr>
          <w:rFonts w:asciiTheme="minorEastAsia" w:hAnsiTheme="minorEastAsia" w:cs="宋体"/>
          <w:color w:val="000000"/>
          <w:kern w:val="0"/>
          <w:szCs w:val="21"/>
        </w:rPr>
      </w:pPr>
    </w:p>
    <w:sectPr w:rsidR="00706FE9" w:rsidRPr="00754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F00" w:rsidRDefault="00AB4F00" w:rsidP="00500D0C">
      <w:r>
        <w:separator/>
      </w:r>
    </w:p>
  </w:endnote>
  <w:endnote w:type="continuationSeparator" w:id="0">
    <w:p w:rsidR="00AB4F00" w:rsidRDefault="00AB4F00" w:rsidP="0050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F00" w:rsidRDefault="00AB4F00" w:rsidP="00500D0C">
      <w:r>
        <w:separator/>
      </w:r>
    </w:p>
  </w:footnote>
  <w:footnote w:type="continuationSeparator" w:id="0">
    <w:p w:rsidR="00AB4F00" w:rsidRDefault="00AB4F00" w:rsidP="00500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66C01"/>
    <w:multiLevelType w:val="hybridMultilevel"/>
    <w:tmpl w:val="EEB07A08"/>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
    <w:nsid w:val="1FE41F06"/>
    <w:multiLevelType w:val="hybridMultilevel"/>
    <w:tmpl w:val="B33206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5C53E2"/>
    <w:multiLevelType w:val="hybridMultilevel"/>
    <w:tmpl w:val="9A84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D2"/>
    <w:rsid w:val="00076BAD"/>
    <w:rsid w:val="000970A4"/>
    <w:rsid w:val="001706DC"/>
    <w:rsid w:val="001A1372"/>
    <w:rsid w:val="001C5D97"/>
    <w:rsid w:val="001C6612"/>
    <w:rsid w:val="002033A1"/>
    <w:rsid w:val="002816A2"/>
    <w:rsid w:val="002E1EA3"/>
    <w:rsid w:val="002F740D"/>
    <w:rsid w:val="003512B6"/>
    <w:rsid w:val="003675D3"/>
    <w:rsid w:val="00420487"/>
    <w:rsid w:val="00443CDF"/>
    <w:rsid w:val="004D394D"/>
    <w:rsid w:val="00500D0C"/>
    <w:rsid w:val="005818E7"/>
    <w:rsid w:val="006526E5"/>
    <w:rsid w:val="006A2319"/>
    <w:rsid w:val="006E7BD0"/>
    <w:rsid w:val="006F2FC4"/>
    <w:rsid w:val="00706FE9"/>
    <w:rsid w:val="0075475B"/>
    <w:rsid w:val="007C3AE0"/>
    <w:rsid w:val="00902401"/>
    <w:rsid w:val="00913699"/>
    <w:rsid w:val="009737D2"/>
    <w:rsid w:val="00AB4F00"/>
    <w:rsid w:val="00B7220B"/>
    <w:rsid w:val="00BE5CB2"/>
    <w:rsid w:val="00D42175"/>
    <w:rsid w:val="00DD4A55"/>
    <w:rsid w:val="00E55E05"/>
    <w:rsid w:val="00E91190"/>
    <w:rsid w:val="00ED66F6"/>
    <w:rsid w:val="00F212BD"/>
    <w:rsid w:val="00F33773"/>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8E3646-CD5A-421F-9E59-B4BBAAE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0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0D0C"/>
    <w:rPr>
      <w:sz w:val="18"/>
      <w:szCs w:val="18"/>
    </w:rPr>
  </w:style>
  <w:style w:type="paragraph" w:styleId="a4">
    <w:name w:val="footer"/>
    <w:basedOn w:val="a"/>
    <w:link w:val="Char0"/>
    <w:uiPriority w:val="99"/>
    <w:unhideWhenUsed/>
    <w:rsid w:val="00500D0C"/>
    <w:pPr>
      <w:tabs>
        <w:tab w:val="center" w:pos="4153"/>
        <w:tab w:val="right" w:pos="8306"/>
      </w:tabs>
      <w:snapToGrid w:val="0"/>
      <w:jc w:val="left"/>
    </w:pPr>
    <w:rPr>
      <w:sz w:val="18"/>
      <w:szCs w:val="18"/>
    </w:rPr>
  </w:style>
  <w:style w:type="character" w:customStyle="1" w:styleId="Char0">
    <w:name w:val="页脚 Char"/>
    <w:basedOn w:val="a0"/>
    <w:link w:val="a4"/>
    <w:uiPriority w:val="99"/>
    <w:rsid w:val="00500D0C"/>
    <w:rPr>
      <w:sz w:val="18"/>
      <w:szCs w:val="18"/>
    </w:rPr>
  </w:style>
  <w:style w:type="paragraph" w:styleId="a5">
    <w:name w:val="List Paragraph"/>
    <w:basedOn w:val="a"/>
    <w:uiPriority w:val="34"/>
    <w:qFormat/>
    <w:rsid w:val="00500D0C"/>
    <w:pPr>
      <w:ind w:firstLineChars="200" w:firstLine="420"/>
    </w:pPr>
  </w:style>
  <w:style w:type="table" w:styleId="a6">
    <w:name w:val="Table Grid"/>
    <w:basedOn w:val="a1"/>
    <w:rsid w:val="00F3377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7889">
      <w:bodyDiv w:val="1"/>
      <w:marLeft w:val="0"/>
      <w:marRight w:val="0"/>
      <w:marTop w:val="0"/>
      <w:marBottom w:val="0"/>
      <w:divBdr>
        <w:top w:val="none" w:sz="0" w:space="0" w:color="auto"/>
        <w:left w:val="none" w:sz="0" w:space="0" w:color="auto"/>
        <w:bottom w:val="none" w:sz="0" w:space="0" w:color="auto"/>
        <w:right w:val="none" w:sz="0" w:space="0" w:color="auto"/>
      </w:divBdr>
    </w:div>
    <w:div w:id="814297756">
      <w:bodyDiv w:val="1"/>
      <w:marLeft w:val="0"/>
      <w:marRight w:val="0"/>
      <w:marTop w:val="0"/>
      <w:marBottom w:val="0"/>
      <w:divBdr>
        <w:top w:val="none" w:sz="0" w:space="0" w:color="auto"/>
        <w:left w:val="none" w:sz="0" w:space="0" w:color="auto"/>
        <w:bottom w:val="none" w:sz="0" w:space="0" w:color="auto"/>
        <w:right w:val="none" w:sz="0" w:space="0" w:color="auto"/>
      </w:divBdr>
    </w:div>
    <w:div w:id="930117992">
      <w:bodyDiv w:val="1"/>
      <w:marLeft w:val="0"/>
      <w:marRight w:val="0"/>
      <w:marTop w:val="0"/>
      <w:marBottom w:val="0"/>
      <w:divBdr>
        <w:top w:val="none" w:sz="0" w:space="0" w:color="auto"/>
        <w:left w:val="none" w:sz="0" w:space="0" w:color="auto"/>
        <w:bottom w:val="none" w:sz="0" w:space="0" w:color="auto"/>
        <w:right w:val="none" w:sz="0" w:space="0" w:color="auto"/>
      </w:divBdr>
    </w:div>
    <w:div w:id="939527827">
      <w:bodyDiv w:val="1"/>
      <w:marLeft w:val="0"/>
      <w:marRight w:val="0"/>
      <w:marTop w:val="0"/>
      <w:marBottom w:val="0"/>
      <w:divBdr>
        <w:top w:val="none" w:sz="0" w:space="0" w:color="auto"/>
        <w:left w:val="none" w:sz="0" w:space="0" w:color="auto"/>
        <w:bottom w:val="none" w:sz="0" w:space="0" w:color="auto"/>
        <w:right w:val="none" w:sz="0" w:space="0" w:color="auto"/>
      </w:divBdr>
    </w:div>
    <w:div w:id="982152304">
      <w:bodyDiv w:val="1"/>
      <w:marLeft w:val="0"/>
      <w:marRight w:val="0"/>
      <w:marTop w:val="0"/>
      <w:marBottom w:val="0"/>
      <w:divBdr>
        <w:top w:val="none" w:sz="0" w:space="0" w:color="auto"/>
        <w:left w:val="none" w:sz="0" w:space="0" w:color="auto"/>
        <w:bottom w:val="none" w:sz="0" w:space="0" w:color="auto"/>
        <w:right w:val="none" w:sz="0" w:space="0" w:color="auto"/>
      </w:divBdr>
    </w:div>
    <w:div w:id="1070537871">
      <w:bodyDiv w:val="1"/>
      <w:marLeft w:val="0"/>
      <w:marRight w:val="0"/>
      <w:marTop w:val="0"/>
      <w:marBottom w:val="0"/>
      <w:divBdr>
        <w:top w:val="none" w:sz="0" w:space="0" w:color="auto"/>
        <w:left w:val="none" w:sz="0" w:space="0" w:color="auto"/>
        <w:bottom w:val="none" w:sz="0" w:space="0" w:color="auto"/>
        <w:right w:val="none" w:sz="0" w:space="0" w:color="auto"/>
      </w:divBdr>
    </w:div>
    <w:div w:id="1367637134">
      <w:bodyDiv w:val="1"/>
      <w:marLeft w:val="0"/>
      <w:marRight w:val="0"/>
      <w:marTop w:val="0"/>
      <w:marBottom w:val="0"/>
      <w:divBdr>
        <w:top w:val="none" w:sz="0" w:space="0" w:color="auto"/>
        <w:left w:val="none" w:sz="0" w:space="0" w:color="auto"/>
        <w:bottom w:val="none" w:sz="0" w:space="0" w:color="auto"/>
        <w:right w:val="none" w:sz="0" w:space="0" w:color="auto"/>
      </w:divBdr>
    </w:div>
    <w:div w:id="1588615555">
      <w:bodyDiv w:val="1"/>
      <w:marLeft w:val="0"/>
      <w:marRight w:val="0"/>
      <w:marTop w:val="0"/>
      <w:marBottom w:val="0"/>
      <w:divBdr>
        <w:top w:val="none" w:sz="0" w:space="0" w:color="auto"/>
        <w:left w:val="none" w:sz="0" w:space="0" w:color="auto"/>
        <w:bottom w:val="none" w:sz="0" w:space="0" w:color="auto"/>
        <w:right w:val="none" w:sz="0" w:space="0" w:color="auto"/>
      </w:divBdr>
    </w:div>
    <w:div w:id="1633443389">
      <w:bodyDiv w:val="1"/>
      <w:marLeft w:val="0"/>
      <w:marRight w:val="0"/>
      <w:marTop w:val="0"/>
      <w:marBottom w:val="0"/>
      <w:divBdr>
        <w:top w:val="none" w:sz="0" w:space="0" w:color="auto"/>
        <w:left w:val="none" w:sz="0" w:space="0" w:color="auto"/>
        <w:bottom w:val="none" w:sz="0" w:space="0" w:color="auto"/>
        <w:right w:val="none" w:sz="0" w:space="0" w:color="auto"/>
      </w:divBdr>
    </w:div>
    <w:div w:id="1649939965">
      <w:bodyDiv w:val="1"/>
      <w:marLeft w:val="0"/>
      <w:marRight w:val="0"/>
      <w:marTop w:val="0"/>
      <w:marBottom w:val="0"/>
      <w:divBdr>
        <w:top w:val="none" w:sz="0" w:space="0" w:color="auto"/>
        <w:left w:val="none" w:sz="0" w:space="0" w:color="auto"/>
        <w:bottom w:val="none" w:sz="0" w:space="0" w:color="auto"/>
        <w:right w:val="none" w:sz="0" w:space="0" w:color="auto"/>
      </w:divBdr>
    </w:div>
    <w:div w:id="1663194600">
      <w:bodyDiv w:val="1"/>
      <w:marLeft w:val="0"/>
      <w:marRight w:val="0"/>
      <w:marTop w:val="0"/>
      <w:marBottom w:val="0"/>
      <w:divBdr>
        <w:top w:val="none" w:sz="0" w:space="0" w:color="auto"/>
        <w:left w:val="none" w:sz="0" w:space="0" w:color="auto"/>
        <w:bottom w:val="none" w:sz="0" w:space="0" w:color="auto"/>
        <w:right w:val="none" w:sz="0" w:space="0" w:color="auto"/>
      </w:divBdr>
    </w:div>
    <w:div w:id="19580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bean</cp:lastModifiedBy>
  <cp:revision>18</cp:revision>
  <dcterms:created xsi:type="dcterms:W3CDTF">2016-03-19T01:26:00Z</dcterms:created>
  <dcterms:modified xsi:type="dcterms:W3CDTF">2016-03-23T14:56:00Z</dcterms:modified>
</cp:coreProperties>
</file>