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30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前置操作：</w:t>
      </w:r>
    </w:p>
    <w:p w14:paraId="69AE5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将playermovement剥离，方便之后给敌人创建虚拟鼠标位置和虚拟输入来调用相应方法</w:t>
      </w:r>
    </w:p>
    <w:p w14:paraId="606C2528">
      <w:pPr>
        <w:rPr>
          <w:rFonts w:hint="default"/>
          <w:lang w:val="en-US" w:eastAsia="zh-CN"/>
        </w:rPr>
      </w:pPr>
    </w:p>
    <w:p w14:paraId="0D795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后续：</w:t>
      </w:r>
    </w:p>
    <w:p w14:paraId="0B0AB05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BC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2025-12-08T11:30:57Z</dcterms:created>
  <dc:creator>zdz10</dc:creator>
  <cp:lastModifiedBy>熔炉</cp:lastModifiedBy>
  <dcterms:modified xsi:type="dcterms:W3CDTF">2025-12-08T11:31:52Z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CC5D4B4FE9104285BEB6233955915258_12</vt:lpwstr>
  </property>
</Properties>
</file>