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A190" w14:textId="20185C1E" w:rsidR="00587F2A" w:rsidRPr="00464675" w:rsidRDefault="00587F2A" w:rsidP="00CB0B1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Ethics</w:t>
      </w:r>
    </w:p>
    <w:p w14:paraId="6E7DC5AF" w14:textId="163D4954" w:rsidR="00587F2A" w:rsidRPr="00464675" w:rsidRDefault="00587F2A" w:rsidP="00CB0B1D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Privacy &amp; security.</w:t>
      </w:r>
      <w:r w:rsidRPr="00464675">
        <w:rPr>
          <w:rFonts w:ascii="Arial" w:hAnsi="Arial" w:cs="Arial"/>
          <w:sz w:val="24"/>
          <w:szCs w:val="24"/>
        </w:rPr>
        <w:t xml:space="preserve"> Use only de-identified data</w:t>
      </w:r>
      <w:r w:rsidR="00464675">
        <w:rPr>
          <w:rFonts w:ascii="Arial" w:hAnsi="Arial" w:cs="Arial"/>
          <w:sz w:val="24"/>
          <w:szCs w:val="24"/>
        </w:rPr>
        <w:t>,</w:t>
      </w:r>
      <w:r w:rsidRPr="00464675">
        <w:rPr>
          <w:rFonts w:ascii="Arial" w:hAnsi="Arial" w:cs="Arial"/>
          <w:sz w:val="24"/>
          <w:szCs w:val="24"/>
        </w:rPr>
        <w:t xml:space="preserve"> apply access controls</w:t>
      </w:r>
      <w:r w:rsidR="00464675">
        <w:rPr>
          <w:rFonts w:ascii="Arial" w:hAnsi="Arial" w:cs="Arial"/>
          <w:sz w:val="24"/>
          <w:szCs w:val="24"/>
        </w:rPr>
        <w:t>,</w:t>
      </w:r>
      <w:r w:rsidRPr="00464675">
        <w:rPr>
          <w:rFonts w:ascii="Arial" w:hAnsi="Arial" w:cs="Arial"/>
          <w:sz w:val="24"/>
          <w:szCs w:val="24"/>
        </w:rPr>
        <w:t xml:space="preserve"> never attempt re-identification.</w:t>
      </w:r>
    </w:p>
    <w:p w14:paraId="6A15C980" w14:textId="117FC486" w:rsidR="00587F2A" w:rsidRPr="00464675" w:rsidRDefault="00587F2A" w:rsidP="00CB0B1D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Fairness.</w:t>
      </w:r>
      <w:r w:rsidRPr="00464675">
        <w:rPr>
          <w:rFonts w:ascii="Arial" w:hAnsi="Arial" w:cs="Arial"/>
          <w:sz w:val="24"/>
          <w:szCs w:val="24"/>
        </w:rPr>
        <w:t xml:space="preserve"> Check for obvious performance gaps across relevant subgroups</w:t>
      </w:r>
      <w:r w:rsidR="00464675">
        <w:rPr>
          <w:rFonts w:ascii="Arial" w:hAnsi="Arial" w:cs="Arial"/>
          <w:sz w:val="24"/>
          <w:szCs w:val="24"/>
        </w:rPr>
        <w:t xml:space="preserve"> </w:t>
      </w:r>
      <w:r w:rsidRPr="00464675">
        <w:rPr>
          <w:rFonts w:ascii="Arial" w:hAnsi="Arial" w:cs="Arial"/>
          <w:sz w:val="24"/>
          <w:szCs w:val="24"/>
        </w:rPr>
        <w:t xml:space="preserve">and state limits on </w:t>
      </w:r>
      <w:r w:rsidR="00464675" w:rsidRPr="00464675">
        <w:rPr>
          <w:rFonts w:ascii="Arial" w:hAnsi="Arial" w:cs="Arial"/>
          <w:sz w:val="24"/>
          <w:szCs w:val="24"/>
        </w:rPr>
        <w:t>generalization</w:t>
      </w:r>
      <w:r w:rsidRPr="00464675">
        <w:rPr>
          <w:rFonts w:ascii="Arial" w:hAnsi="Arial" w:cs="Arial"/>
          <w:sz w:val="24"/>
          <w:szCs w:val="24"/>
        </w:rPr>
        <w:t>.</w:t>
      </w:r>
    </w:p>
    <w:p w14:paraId="60E02850" w14:textId="77777777" w:rsidR="00587F2A" w:rsidRPr="00464675" w:rsidRDefault="00587F2A" w:rsidP="00CB0B1D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Safety &amp; misuse.</w:t>
      </w:r>
      <w:r w:rsidRPr="00464675">
        <w:rPr>
          <w:rFonts w:ascii="Arial" w:hAnsi="Arial" w:cs="Arial"/>
          <w:sz w:val="24"/>
          <w:szCs w:val="24"/>
        </w:rPr>
        <w:t xml:space="preserve"> Clearly mark outputs </w:t>
      </w:r>
      <w:r w:rsidRPr="00464675">
        <w:rPr>
          <w:rFonts w:ascii="Arial" w:hAnsi="Arial" w:cs="Arial"/>
          <w:b/>
          <w:bCs/>
          <w:sz w:val="24"/>
          <w:szCs w:val="24"/>
        </w:rPr>
        <w:t>“not for diagnosis.”</w:t>
      </w:r>
      <w:r w:rsidRPr="00464675">
        <w:rPr>
          <w:rFonts w:ascii="Arial" w:hAnsi="Arial" w:cs="Arial"/>
          <w:sz w:val="24"/>
          <w:szCs w:val="24"/>
        </w:rPr>
        <w:t xml:space="preserve"> Communicate error rates/uncertainty to reduce automation bias.</w:t>
      </w:r>
    </w:p>
    <w:p w14:paraId="127765B9" w14:textId="0AD959FC" w:rsidR="00587F2A" w:rsidRPr="00464675" w:rsidRDefault="00587F2A" w:rsidP="00CB0B1D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Transparency &amp; reproducibility.</w:t>
      </w:r>
      <w:r w:rsidRPr="00464675">
        <w:rPr>
          <w:rFonts w:ascii="Arial" w:hAnsi="Arial" w:cs="Arial"/>
          <w:sz w:val="24"/>
          <w:szCs w:val="24"/>
        </w:rPr>
        <w:t xml:space="preserve"> Provide a brief model card (purpose, data, metrics, limits), keep versioned code/logs, and include basic, </w:t>
      </w:r>
      <w:r w:rsidR="00464675">
        <w:rPr>
          <w:rFonts w:ascii="Arial" w:hAnsi="Arial" w:cs="Arial"/>
          <w:sz w:val="24"/>
          <w:szCs w:val="24"/>
        </w:rPr>
        <w:t>qualified</w:t>
      </w:r>
      <w:r w:rsidRPr="00464675">
        <w:rPr>
          <w:rFonts w:ascii="Arial" w:hAnsi="Arial" w:cs="Arial"/>
          <w:sz w:val="24"/>
          <w:szCs w:val="24"/>
        </w:rPr>
        <w:t xml:space="preserve"> interpretability visuals.</w:t>
      </w:r>
    </w:p>
    <w:p w14:paraId="098629D3" w14:textId="4E4A02BA" w:rsidR="00587F2A" w:rsidRPr="00464675" w:rsidRDefault="00587F2A" w:rsidP="00CB0B1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Legal</w:t>
      </w:r>
    </w:p>
    <w:p w14:paraId="7AFF3F4B" w14:textId="64462108" w:rsidR="00587F2A" w:rsidRPr="00464675" w:rsidRDefault="00587F2A" w:rsidP="00CB0B1D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GDPR (special-category data).</w:t>
      </w:r>
      <w:r w:rsidRPr="00464675">
        <w:rPr>
          <w:rFonts w:ascii="Arial" w:hAnsi="Arial" w:cs="Arial"/>
          <w:sz w:val="24"/>
          <w:szCs w:val="24"/>
        </w:rPr>
        <w:t xml:space="preserve"> Treat health-related data with heightened care: data </w:t>
      </w:r>
      <w:r w:rsidR="00464675" w:rsidRPr="00464675">
        <w:rPr>
          <w:rFonts w:ascii="Arial" w:hAnsi="Arial" w:cs="Arial"/>
          <w:sz w:val="24"/>
          <w:szCs w:val="24"/>
        </w:rPr>
        <w:t>minimization</w:t>
      </w:r>
      <w:r w:rsidRPr="00464675">
        <w:rPr>
          <w:rFonts w:ascii="Arial" w:hAnsi="Arial" w:cs="Arial"/>
          <w:sz w:val="24"/>
          <w:szCs w:val="24"/>
        </w:rPr>
        <w:t xml:space="preserve">, </w:t>
      </w:r>
      <w:r w:rsidR="00464675" w:rsidRPr="00464675">
        <w:rPr>
          <w:rFonts w:ascii="Arial" w:hAnsi="Arial" w:cs="Arial"/>
          <w:sz w:val="24"/>
          <w:szCs w:val="24"/>
        </w:rPr>
        <w:t>pseudonymization</w:t>
      </w:r>
      <w:r w:rsidRPr="00464675">
        <w:rPr>
          <w:rFonts w:ascii="Arial" w:hAnsi="Arial" w:cs="Arial"/>
          <w:sz w:val="24"/>
          <w:szCs w:val="24"/>
        </w:rPr>
        <w:t xml:space="preserve"> where possible, security, clear purpose, defined retention. If any processing could involve personal data and add safeguards.</w:t>
      </w:r>
    </w:p>
    <w:p w14:paraId="2D2C1091" w14:textId="42A8E42B" w:rsidR="00587F2A" w:rsidRPr="00464675" w:rsidRDefault="00587F2A" w:rsidP="00CB0B1D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Licensing &amp; attribution.</w:t>
      </w:r>
      <w:r w:rsidRPr="00464675">
        <w:rPr>
          <w:rFonts w:ascii="Arial" w:hAnsi="Arial" w:cs="Arial"/>
          <w:sz w:val="24"/>
          <w:szCs w:val="24"/>
        </w:rPr>
        <w:t xml:space="preserve"> Follow the dataset’s </w:t>
      </w:r>
      <w:r w:rsidR="00464675" w:rsidRPr="00464675">
        <w:rPr>
          <w:rFonts w:ascii="Arial" w:hAnsi="Arial" w:cs="Arial"/>
          <w:sz w:val="24"/>
          <w:szCs w:val="24"/>
        </w:rPr>
        <w:t>license</w:t>
      </w:r>
      <w:r w:rsidRPr="00464675">
        <w:rPr>
          <w:rFonts w:ascii="Arial" w:hAnsi="Arial" w:cs="Arial"/>
          <w:sz w:val="24"/>
          <w:szCs w:val="24"/>
        </w:rPr>
        <w:t xml:space="preserve"> and citation terms; don’t redistribute raw data beyond what’s permitted.</w:t>
      </w:r>
    </w:p>
    <w:p w14:paraId="0E8448F2" w14:textId="28EE0E3A" w:rsidR="00587F2A" w:rsidRPr="00464675" w:rsidRDefault="00587F2A" w:rsidP="00CB0B1D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IP &amp; publication hygiene.</w:t>
      </w:r>
      <w:r w:rsidRPr="00464675">
        <w:rPr>
          <w:rFonts w:ascii="Arial" w:hAnsi="Arial" w:cs="Arial"/>
          <w:sz w:val="24"/>
          <w:szCs w:val="24"/>
        </w:rPr>
        <w:t xml:space="preserve"> Avoid identifiable images</w:t>
      </w:r>
      <w:r w:rsidR="00464675">
        <w:rPr>
          <w:rFonts w:ascii="Arial" w:hAnsi="Arial" w:cs="Arial"/>
          <w:sz w:val="24"/>
          <w:szCs w:val="24"/>
        </w:rPr>
        <w:t>,</w:t>
      </w:r>
      <w:r w:rsidRPr="00464675">
        <w:rPr>
          <w:rFonts w:ascii="Arial" w:hAnsi="Arial" w:cs="Arial"/>
          <w:sz w:val="24"/>
          <w:szCs w:val="24"/>
        </w:rPr>
        <w:t xml:space="preserve"> clarify ownership and reuse rights for code, models, and figures.</w:t>
      </w:r>
    </w:p>
    <w:p w14:paraId="03EF1D39" w14:textId="53875B61" w:rsidR="00587F2A" w:rsidRPr="00464675" w:rsidRDefault="00587F2A" w:rsidP="00CB0B1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Regulation</w:t>
      </w:r>
    </w:p>
    <w:p w14:paraId="0740B4C1" w14:textId="77777777" w:rsidR="00587F2A" w:rsidRPr="00464675" w:rsidRDefault="00587F2A" w:rsidP="00CB0B1D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Today (research setting).</w:t>
      </w:r>
      <w:r w:rsidRPr="00464675">
        <w:rPr>
          <w:rFonts w:ascii="Arial" w:hAnsi="Arial" w:cs="Arial"/>
          <w:sz w:val="24"/>
          <w:szCs w:val="24"/>
        </w:rPr>
        <w:t xml:space="preserve"> Academic coursework not placed on the market is generally </w:t>
      </w:r>
      <w:r w:rsidRPr="00464675">
        <w:rPr>
          <w:rFonts w:ascii="Arial" w:hAnsi="Arial" w:cs="Arial"/>
          <w:b/>
          <w:bCs/>
          <w:sz w:val="24"/>
          <w:szCs w:val="24"/>
        </w:rPr>
        <w:t>outside MDR/AI Act product obligations</w:t>
      </w:r>
      <w:r w:rsidRPr="00464675">
        <w:rPr>
          <w:rFonts w:ascii="Arial" w:hAnsi="Arial" w:cs="Arial"/>
          <w:sz w:val="24"/>
          <w:szCs w:val="24"/>
        </w:rPr>
        <w:t>; still follow research ethics and data-protection rules.</w:t>
      </w:r>
    </w:p>
    <w:p w14:paraId="5863078F" w14:textId="77777777" w:rsidR="00587F2A" w:rsidRPr="00464675" w:rsidRDefault="00587F2A" w:rsidP="00CB0B1D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If moving to clinical intent.</w:t>
      </w:r>
      <w:r w:rsidRPr="00464675">
        <w:rPr>
          <w:rFonts w:ascii="Arial" w:hAnsi="Arial" w:cs="Arial"/>
          <w:sz w:val="24"/>
          <w:szCs w:val="24"/>
        </w:rPr>
        <w:t xml:space="preserve"> The software will likely be </w:t>
      </w:r>
      <w:r w:rsidRPr="00464675">
        <w:rPr>
          <w:rFonts w:ascii="Arial" w:hAnsi="Arial" w:cs="Arial"/>
          <w:b/>
          <w:bCs/>
          <w:sz w:val="24"/>
          <w:szCs w:val="24"/>
        </w:rPr>
        <w:t>Medical Device Software (MDR Rule 11)</w:t>
      </w:r>
      <w:r w:rsidRPr="00464675">
        <w:rPr>
          <w:rFonts w:ascii="Arial" w:hAnsi="Arial" w:cs="Arial"/>
          <w:sz w:val="24"/>
          <w:szCs w:val="24"/>
        </w:rPr>
        <w:t xml:space="preserve"> and a </w:t>
      </w:r>
      <w:r w:rsidRPr="00464675">
        <w:rPr>
          <w:rFonts w:ascii="Arial" w:hAnsi="Arial" w:cs="Arial"/>
          <w:b/>
          <w:bCs/>
          <w:sz w:val="24"/>
          <w:szCs w:val="24"/>
        </w:rPr>
        <w:t>high-risk AI system</w:t>
      </w:r>
      <w:r w:rsidRPr="00464675">
        <w:rPr>
          <w:rFonts w:ascii="Arial" w:hAnsi="Arial" w:cs="Arial"/>
          <w:sz w:val="24"/>
          <w:szCs w:val="24"/>
        </w:rPr>
        <w:t xml:space="preserve"> under the </w:t>
      </w:r>
      <w:r w:rsidRPr="00464675">
        <w:rPr>
          <w:rFonts w:ascii="Arial" w:hAnsi="Arial" w:cs="Arial"/>
          <w:b/>
          <w:bCs/>
          <w:sz w:val="24"/>
          <w:szCs w:val="24"/>
        </w:rPr>
        <w:t>EU AI Act</w:t>
      </w:r>
      <w:r w:rsidRPr="00464675">
        <w:rPr>
          <w:rFonts w:ascii="Arial" w:hAnsi="Arial" w:cs="Arial"/>
          <w:sz w:val="24"/>
          <w:szCs w:val="24"/>
        </w:rPr>
        <w:t>, triggering risk/quality management, clinical evidence, transparency &amp; human-oversight duties, logging, and monitoring before any real-world use.</w:t>
      </w:r>
    </w:p>
    <w:p w14:paraId="61BFC764" w14:textId="3D913D0F" w:rsidR="006020F2" w:rsidRPr="00CB0B1D" w:rsidRDefault="00587F2A" w:rsidP="00CB0B1D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4675">
        <w:rPr>
          <w:rFonts w:ascii="Arial" w:hAnsi="Arial" w:cs="Arial"/>
          <w:b/>
          <w:bCs/>
          <w:sz w:val="24"/>
          <w:szCs w:val="24"/>
        </w:rPr>
        <w:t>Horizon.</w:t>
      </w:r>
      <w:r w:rsidRPr="00464675">
        <w:rPr>
          <w:rFonts w:ascii="Arial" w:hAnsi="Arial" w:cs="Arial"/>
          <w:sz w:val="24"/>
          <w:szCs w:val="24"/>
        </w:rPr>
        <w:t xml:space="preserve"> AI Act obligations phase in over the next 1–2 years; the </w:t>
      </w:r>
      <w:r w:rsidRPr="00464675">
        <w:rPr>
          <w:rFonts w:ascii="Arial" w:hAnsi="Arial" w:cs="Arial"/>
          <w:b/>
          <w:bCs/>
          <w:sz w:val="24"/>
          <w:szCs w:val="24"/>
        </w:rPr>
        <w:t>European Health Data Space (EHDS)</w:t>
      </w:r>
      <w:r w:rsidRPr="00464675">
        <w:rPr>
          <w:rFonts w:ascii="Arial" w:hAnsi="Arial" w:cs="Arial"/>
          <w:sz w:val="24"/>
          <w:szCs w:val="24"/>
        </w:rPr>
        <w:t xml:space="preserve"> will tighten secondary-use and interoperability rules for health data via a staged rollout.</w:t>
      </w:r>
    </w:p>
    <w:sectPr w:rsidR="006020F2" w:rsidRPr="00CB0B1D" w:rsidSect="003049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47414"/>
    <w:multiLevelType w:val="multilevel"/>
    <w:tmpl w:val="C476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49E4"/>
    <w:multiLevelType w:val="multilevel"/>
    <w:tmpl w:val="0E9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7620F"/>
    <w:multiLevelType w:val="multilevel"/>
    <w:tmpl w:val="6D3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421ED"/>
    <w:multiLevelType w:val="multilevel"/>
    <w:tmpl w:val="585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44AC6"/>
    <w:multiLevelType w:val="multilevel"/>
    <w:tmpl w:val="B56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77F6F"/>
    <w:multiLevelType w:val="multilevel"/>
    <w:tmpl w:val="367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9751C"/>
    <w:multiLevelType w:val="multilevel"/>
    <w:tmpl w:val="F72A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B5D06"/>
    <w:multiLevelType w:val="multilevel"/>
    <w:tmpl w:val="DB7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266948">
    <w:abstractNumId w:val="1"/>
  </w:num>
  <w:num w:numId="2" w16cid:durableId="947392695">
    <w:abstractNumId w:val="7"/>
  </w:num>
  <w:num w:numId="3" w16cid:durableId="1978142298">
    <w:abstractNumId w:val="6"/>
  </w:num>
  <w:num w:numId="4" w16cid:durableId="1691955320">
    <w:abstractNumId w:val="3"/>
  </w:num>
  <w:num w:numId="5" w16cid:durableId="354505399">
    <w:abstractNumId w:val="0"/>
  </w:num>
  <w:num w:numId="6" w16cid:durableId="1696690552">
    <w:abstractNumId w:val="2"/>
  </w:num>
  <w:num w:numId="7" w16cid:durableId="1599175690">
    <w:abstractNumId w:val="5"/>
  </w:num>
  <w:num w:numId="8" w16cid:durableId="1600677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2A"/>
    <w:rsid w:val="000754E3"/>
    <w:rsid w:val="000D1AF6"/>
    <w:rsid w:val="001B61BB"/>
    <w:rsid w:val="00304948"/>
    <w:rsid w:val="00464675"/>
    <w:rsid w:val="004818E1"/>
    <w:rsid w:val="005066DE"/>
    <w:rsid w:val="00587F2A"/>
    <w:rsid w:val="005B6AC0"/>
    <w:rsid w:val="006020F2"/>
    <w:rsid w:val="007D19EE"/>
    <w:rsid w:val="007F51B8"/>
    <w:rsid w:val="008F02E8"/>
    <w:rsid w:val="00CB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299F6"/>
  <w15:chartTrackingRefBased/>
  <w15:docId w15:val="{6863050E-F398-4419-9241-4FB1C019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58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8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87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8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87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8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8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8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8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87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87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87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87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87F2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87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87F2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87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87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8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8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8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8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8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87F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7F2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87F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87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87F2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87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262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Guilherme Lourenço Correia Marques dos Santos</dc:creator>
  <cp:keywords/>
  <dc:description/>
  <cp:lastModifiedBy>José Guilherme Santos</cp:lastModifiedBy>
  <cp:revision>3</cp:revision>
  <dcterms:created xsi:type="dcterms:W3CDTF">2025-09-09T19:46:00Z</dcterms:created>
  <dcterms:modified xsi:type="dcterms:W3CDTF">2025-09-09T20:48:00Z</dcterms:modified>
</cp:coreProperties>
</file>