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-22-2024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019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Evaluación de funcionalidad de edición de producto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Asignación de tareas de la semana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SE EVALÚA EDITAR PRODUCTO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SE CREA PROCEDIMIENTO ALMACENADO PARA LLENAR TABLA PROVEEDORES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SE DESIGNAN TAREAS DE LA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