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Servidor 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3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0"/>
        <w:gridCol w:w="8055"/>
        <w:tblGridChange w:id="0">
          <w:tblGrid>
            <w:gridCol w:w="1890"/>
            <w:gridCol w:w="805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Conrado iaggli / A granel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la planificación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4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 la planificación del cuarto sprint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presentan los avances ya funcionando del cuarto sprint.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Comentarios de mejora por parte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1"/>
              </w:numPr>
              <w:ind w:left="216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Aspectos funcionales menores y estéticos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 acepta el sprint como completado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-499077</wp:posOffset>
          </wp:positionV>
          <wp:extent cx="2209800" cy="367030"/>
          <wp:effectExtent b="0" l="0" r="0" t="0"/>
          <wp:wrapSquare wrapText="bothSides" distB="0" distT="0" distL="114300" distR="114300"/>
          <wp:docPr id="2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1V5Yys7Qwef8IRG1zB+mMnj1Ig==">CgMxLjA4AHIhMWY4T3pIa081NjhuOHM2VjRWdnBEZDl1QmRUZ01QNW4z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