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considerando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w:t>
            </w:r>
            <w:r w:rsidDel="00000000" w:rsidR="00000000" w:rsidRPr="00000000">
              <w:rPr>
                <w:rFonts w:ascii="Calibri" w:cs="Calibri" w:eastAsia="Calibri" w:hAnsi="Calibri"/>
                <w:color w:val="000000"/>
                <w:rtl w:val="0"/>
              </w:rPr>
              <w:t xml:space="preserve">.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 produce texto en inglés</w:t>
            </w:r>
          </w:p>
          <w:p w:rsidR="00000000" w:rsidDel="00000000" w:rsidP="00000000" w:rsidRDefault="00000000" w:rsidRPr="00000000" w14:paraId="00000113">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uu9kf6DRe4Vvai0u0lggtC85Ng==">CgMxLjA4AHIhMVQtOTFaSWI4XzZ5M01ZT3RXeHlZWGZYbkVxSGd5SVZS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