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rebuchet MS" w:cs="Trebuchet MS" w:eastAsia="Trebuchet MS" w:hAnsi="Trebuchet MS"/>
        </w:rPr>
      </w:pPr>
      <w:bookmarkStart w:colFirst="0" w:colLast="0" w:name="_2v0f7aoc64ce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Análisis de Prioridades de los Módulos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54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600" y="427800"/>
                          <a:ext cx="5731200" cy="2654300"/>
                          <a:chOff x="127600" y="427800"/>
                          <a:chExt cx="9462975" cy="4364050"/>
                        </a:xfrm>
                      </wpg:grpSpPr>
                      <wpg:graphicFrame>
                        <wpg:xfrm>
                          <a:off x="132375" y="4325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{70A563EB-E54A-43CE-9EBC-AD8A9C16103E}</a:tableStyleId>
                              </a:tblPr>
                              <a:tblGrid>
                                <a:gridCol w="2178725"/>
                                <a:gridCol w="1172450"/>
                                <a:gridCol w="1061650"/>
                                <a:gridCol w="1061650"/>
                                <a:gridCol w="1098600"/>
                                <a:gridCol w="747800"/>
                                <a:gridCol w="932425"/>
                                <a:gridCol w="1200125"/>
                              </a:tblGrid>
                              <a:tr h="423600">
                                <a:tc gridSpan="8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OptiFlow</a:t>
                                      </a:r>
                                      <a:endParaRPr b="1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Criterios de Aceptación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Ponderado 1-3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M-01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M-02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M-03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M-04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M-05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M-06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Fácil Implementación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50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Variedad Tecnologías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Alto impacto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Aprobación de los Docentes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Tiempo de Ejecución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Total Puntos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1.100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840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830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760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890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870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% Aprobatorio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76%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75%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73%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69%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81%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79%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54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5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93974" cy="189154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625" y="147625"/>
                          <a:ext cx="3893974" cy="1891545"/>
                          <a:chOff x="147625" y="147625"/>
                          <a:chExt cx="5676925" cy="27563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{70A563EB-E54A-43CE-9EBC-AD8A9C16103E}</a:tableStyleId>
                              </a:tblPr>
                              <a:tblGrid>
                                <a:gridCol w="1038225"/>
                                <a:gridCol w="1333500"/>
                                <a:gridCol w="3295650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Orden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ID_MODULO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Módulo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solidFill>
                                            <a:srgbClr val="222222"/>
                                          </a:solidFill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Gestión de inventarios y recursos del cliente</a:t>
                                      </a:r>
                                      <a:endParaRPr sz="1200">
                                        <a:solidFill>
                                          <a:srgbClr val="222222"/>
                                        </a:solidFill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4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Análisis Financiero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5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Gestión de Proveedores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M-04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Historial de Movimientos del producto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M-05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Perfil (login) personalizado por empresa/usuario.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M-06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Módulo de gestión de promociones dinámicas.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93974" cy="189154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3974" cy="1891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92763" cy="2709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625" y="147625"/>
                          <a:ext cx="2192763" cy="2709863"/>
                          <a:chOff x="147625" y="147625"/>
                          <a:chExt cx="3181375" cy="39335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{70A563EB-E54A-43CE-9EBC-AD8A9C16103E}</a:tableStyleId>
                              </a:tblPr>
                              <a:tblGrid>
                                <a:gridCol w="742950"/>
                                <a:gridCol w="242887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Normal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Importante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Muy Importante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Importancia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0-20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Malo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21-40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Pasable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41-60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Aceptable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61-80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Bueno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81-100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Excelente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92763" cy="27098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2763" cy="2709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gtue809mt8l2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highlight w:val="yellow"/>
          <w:rtl w:val="0"/>
        </w:rPr>
        <w:t xml:space="preserve">M-05: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Perfil (login) personalizado por empresa/usuario. (B/F)¨* primero login luego perfil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890 puntos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81% (Excelente)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tiene la mayor calificación, lo que indica que es altamente priorizable. Su facilidad de implementación y aprobación por parte de los docentes lo hacen destacado.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44bea09sfzev" w:id="2"/>
      <w:bookmarkEnd w:id="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M-06: Módulo de gestión de promociones dinámicas (*). (B/F)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870 puntos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79% (Bueno)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es importante debido a su impacto y alta aprobación, pero tiene un tiempo de ejecución un poco mayor.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bgg7vt2qafs9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highlight w:val="yellow"/>
          <w:rtl w:val="0"/>
        </w:rPr>
        <w:t xml:space="preserve">M-01: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Gestión de inventarios y recursos del cliente. (B/F)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840 puntos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76% (Bueno)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 un módulo robusto y con alto impacto, lo que lo coloca alto en la lista de prioridades. Sin embargo, su implementación no es tan sencilla.</w:t>
      </w:r>
    </w:p>
    <w:p w:rsidR="00000000" w:rsidDel="00000000" w:rsidP="00000000" w:rsidRDefault="00000000" w:rsidRPr="00000000" w14:paraId="00000014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fkpy21qti9wa" w:id="4"/>
      <w:bookmarkEnd w:id="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highlight w:val="yellow"/>
          <w:rtl w:val="0"/>
        </w:rPr>
        <w:t xml:space="preserve">M-02: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Análisis Financiero. (B/F)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830 puntos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75% (Bueno)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Tiene una buena calificación y podría considerarse prioritario, aunque su variedad tecnológica podría requerir más esfuerzo.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pzimetiw66cj" w:id="5"/>
      <w:bookmarkEnd w:id="5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M-03: Gestión de Proveedores. (B/F)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800 puntos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73% (Bueno)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Aunque tiene un buen nivel de aceptación, la complejidad en la implementación y el impacto medio lo colocan en una prioridad menor.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nwzqki7qc5tw" w:id="6"/>
      <w:bookmarkEnd w:id="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M-04: Historial de Movimientos del producto. (B/F)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760 puntos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69% (Bueno)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tiene la menor prioridad debido a su menor impacto y menor facilidad de implementación.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Prioridad Recomendada:</w:t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 M-05 - Perfil personalizado (login)</w:t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2. M-06 - Gestión de promociones dinámicas</w:t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3. M-01 - Gestión de inventarios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4. M-02 - Análisis financiero</w:t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 M-03 - Gestión de proveedores</w:t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6. M-04 - Historial de movimientos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