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DEFINICIÓN DEL PRODUCT BACKLOG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Personalización y Gestión de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Reportes e Información Analítica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 de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de usuario y accesibilidad a la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y Exportación de Datos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005"/>
            <w:gridCol w:w="990"/>
            <w:gridCol w:w="1125"/>
            <w:gridCol w:w="1125"/>
            <w:gridCol w:w="1125"/>
            <w:gridCol w:w="1125"/>
            <w:gridCol w:w="1125"/>
            <w:tblGridChange w:id="0">
              <w:tblGrid>
                <w:gridCol w:w="1380"/>
                <w:gridCol w:w="1005"/>
                <w:gridCol w:w="990"/>
                <w:gridCol w:w="1125"/>
                <w:gridCol w:w="1125"/>
                <w:gridCol w:w="1125"/>
                <w:gridCol w:w="1125"/>
                <w:gridCol w:w="1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Participante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Leyton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Cristian Ubilla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Daniel Caro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Priorización de las épicas(Product Backlog Priorizado)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Se utilizará el método de los 100 puntos, este método consiste en asignar a cada participante 100 puntos, que deben ser distribuidos de acuerdo a la importancia que le dé cada participante a la épica. Luego se suman los puntos asignados a cada épica y se ordenan de mayor a menor, siendo la épica con más prioridad aquella que obtenga la mayor cantidad de puntos y así sucesivamente.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6570"/>
        <w:gridCol w:w="1680"/>
        <w:tblGridChange w:id="0">
          <w:tblGrid>
            <w:gridCol w:w="750"/>
            <w:gridCol w:w="657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el administrador pueda crear, modificar, eliminar y leer los atributos de los libros.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contar con login de acceso con perfiles de usuario definidos de acuerdo al rol que cumplirá.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 registro detallado de las donaciones a las instituciones.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las instituciones puedan generar búsquedas de los libros.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quienes revisen la página puedan ver las novedades en su 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página cuente con la información de contacto.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contar con la información de los puntos de entrega de las donaciones.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Mcq+pAB1yh+8kNMTZGHSGN6RQ==">CgMxLjAaHwoBMBIaChgICVIUChJ0YWJsZS42ajh4cGR0anA1YWg4AHIhMVRrRzl1ZTRHc1U4d2x3U1FzMWJfZG1RT240UnhUUmw1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