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Servidor 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3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45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8055"/>
        <w:tblGridChange w:id="0">
          <w:tblGrid>
            <w:gridCol w:w="1890"/>
            <w:gridCol w:w="80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Conrado iaggli / A granel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5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 la planificación del quinto sprint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presentan los avances del quinto sprint.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 de mejora por parte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1"/>
              </w:numPr>
              <w:ind w:left="216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Reportes con más detalle y estéticos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 sprint se encuentra aún en desarrollo, por lo que no se puede concluir aún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-499075</wp:posOffset>
          </wp:positionV>
          <wp:extent cx="2209800" cy="367030"/>
          <wp:effectExtent b="0" l="0" r="0" t="0"/>
          <wp:wrapSquare wrapText="bothSides" distB="0" distT="0" distL="114300" distR="114300"/>
          <wp:docPr id="2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77K6cgjLkZprKgHjhGbxKSj85Q==">CgMxLjA4AHIhMTliX3BBUHA5dGZWUmNSY3RlSDZtVUJQdGxTYXJjRTZI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