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C2048" w:val="clear"/>
            <w:tcMar>
              <w:top w:type="dxa" w:w="200"/>
              <w:left w:type="dxa" w:w="280"/>
              <w:bottom w:type="dxa" w:w="200"/>
              <w:right w:type="dxa" w:w="280"/>
            </w:tcMar>
          </w:tcPr>
          <w:p>
            <w:pPr>
              <w:spacing w:after="60" w:before="0"/>
              <w:jc w:val="center"/>
            </w:pPr>
            <w:r>
              <w:rPr>
                <w:rFonts w:ascii="Arial" w:cs="Arial" w:eastAsia="Arial" w:hAnsi="Arial"/>
                <w:caps/>
                <w:color w:val="80A8D0"/>
                <w:spacing w:val="120"/>
                <w:sz w:val="18"/>
                <w:szCs w:val="18"/>
              </w:rPr>
              <w:t xml:space="preserve">CONCEPT NOTE</w:t>
            </w:r>
          </w:p>
          <w:p>
            <w:pPr>
              <w:spacing w:after="60" w:before="0"/>
              <w:jc w:val="center"/>
            </w:pPr>
            <w:r>
              <w:rPr>
                <w:rFonts w:ascii="Arial" w:cs="Arial" w:eastAsia="Arial" w:hAnsi="Arial"/>
                <w:b/>
                <w:bCs/>
                <w:color w:val="FFFFFF"/>
                <w:sz w:val="32"/>
                <w:szCs w:val="32"/>
              </w:rPr>
              <w:t xml:space="preserve">Uganda Fiscal Intelligence Platform</w:t>
            </w:r>
          </w:p>
          <w:p>
            <w:pPr>
              <w:spacing w:after="0" w:before="0"/>
              <w:jc w:val="center"/>
            </w:pPr>
            <w:r>
              <w:rPr>
                <w:rFonts w:ascii="Arial" w:cs="Arial" w:eastAsia="Arial" w:hAnsi="Arial"/>
                <w:color w:val="A8C0E0"/>
                <w:sz w:val="23"/>
                <w:szCs w:val="23"/>
              </w:rPr>
              <w:t xml:space="preserve">A Technology Partnership for Domestic Revenue Mobilisation in Uganda</w:t>
            </w:r>
          </w:p>
        </w:tc>
      </w:tr>
    </w:tbl>
    <w:p>
      <w:pPr>
        <w:spacing w:after="3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8" w:sz="1"/>
              <w:left w:val="single" w:color="DDDDD8" w:sz="1"/>
              <w:bottom w:val="single" w:color="DDDDD8" w:sz="1"/>
              <w:right w:val="single" w:color="DDDDD8" w:sz="1"/>
            </w:tcBorders>
            <w:shd w:fill="F5F5F0" w:val="clear"/>
            <w:tcMar>
              <w:top w:type="dxa" w:w="80"/>
              <w:left w:type="dxa" w:w="140"/>
              <w:bottom w:type="dxa" w:w="80"/>
              <w:right w:type="dxa" w:w="140"/>
            </w:tcMar>
          </w:tcPr>
          <w:p>
            <w:r>
              <w:rPr>
                <w:rFonts w:ascii="Arial" w:cs="Arial" w:eastAsia="Arial" w:hAnsi="Arial"/>
                <w:caps/>
                <w:color w:val="888880"/>
                <w:spacing w:val="60"/>
                <w:sz w:val="18"/>
                <w:szCs w:val="18"/>
              </w:rPr>
              <w:t xml:space="preserve">Submitted By</w:t>
            </w:r>
          </w:p>
          <w:p>
            <w:r>
              <w:rPr>
                <w:rFonts w:ascii="Arial" w:cs="Arial" w:eastAsia="Arial" w:hAnsi="Arial"/>
                <w:b/>
                <w:bCs/>
                <w:color w:val="1C1C18"/>
                <w:sz w:val="20"/>
                <w:szCs w:val="20"/>
              </w:rPr>
              <w:t xml:space="preserve">Uganda Fiscal Intelligence Platform Ltd</w:t>
            </w:r>
          </w:p>
        </w:tc>
        <w:tc>
          <w:tcPr>
            <w:tcW w:type="dxa" w:w="3120"/>
            <w:tcBorders>
              <w:top w:val="single" w:color="DDDDD8" w:sz="1"/>
              <w:left w:val="single" w:color="DDDDD8" w:sz="1"/>
              <w:bottom w:val="single" w:color="DDDDD8" w:sz="1"/>
              <w:right w:val="single" w:color="DDDDD8" w:sz="1"/>
            </w:tcBorders>
            <w:shd w:fill="F5F5F0" w:val="clear"/>
            <w:tcMar>
              <w:top w:type="dxa" w:w="80"/>
              <w:left w:type="dxa" w:w="140"/>
              <w:bottom w:type="dxa" w:w="80"/>
              <w:right w:type="dxa" w:w="140"/>
            </w:tcMar>
          </w:tcPr>
          <w:p>
            <w:r>
              <w:rPr>
                <w:rFonts w:ascii="Arial" w:cs="Arial" w:eastAsia="Arial" w:hAnsi="Arial"/>
                <w:caps/>
                <w:color w:val="888880"/>
                <w:spacing w:val="60"/>
                <w:sz w:val="18"/>
                <w:szCs w:val="18"/>
              </w:rPr>
              <w:t xml:space="preserve">Submitted To</w:t>
            </w:r>
          </w:p>
          <w:p>
            <w:r>
              <w:rPr>
                <w:rFonts w:ascii="Arial" w:cs="Arial" w:eastAsia="Arial" w:hAnsi="Arial"/>
                <w:b/>
                <w:bCs/>
                <w:color w:val="1C1C18"/>
                <w:sz w:val="20"/>
                <w:szCs w:val="20"/>
              </w:rPr>
              <w:t xml:space="preserve">IMF / World Bank Uganda Programme</w:t>
            </w:r>
          </w:p>
        </w:tc>
        <w:tc>
          <w:tcPr>
            <w:tcW w:type="dxa" w:w="3120"/>
            <w:tcBorders>
              <w:top w:val="single" w:color="DDDDD8" w:sz="1"/>
              <w:left w:val="single" w:color="DDDDD8" w:sz="1"/>
              <w:bottom w:val="single" w:color="DDDDD8" w:sz="1"/>
              <w:right w:val="single" w:color="DDDDD8" w:sz="1"/>
            </w:tcBorders>
            <w:shd w:fill="F5F5F0" w:val="clear"/>
            <w:tcMar>
              <w:top w:type="dxa" w:w="80"/>
              <w:left w:type="dxa" w:w="140"/>
              <w:bottom w:type="dxa" w:w="80"/>
              <w:right w:type="dxa" w:w="140"/>
            </w:tcMar>
          </w:tcPr>
          <w:p>
            <w:r>
              <w:rPr>
                <w:rFonts w:ascii="Arial" w:cs="Arial" w:eastAsia="Arial" w:hAnsi="Arial"/>
                <w:caps/>
                <w:color w:val="888880"/>
                <w:spacing w:val="60"/>
                <w:sz w:val="18"/>
                <w:szCs w:val="18"/>
              </w:rPr>
              <w:t xml:space="preserve">Date</w:t>
            </w:r>
          </w:p>
          <w:p>
            <w:r>
              <w:rPr>
                <w:rFonts w:ascii="Arial" w:cs="Arial" w:eastAsia="Arial" w:hAnsi="Arial"/>
                <w:b/>
                <w:bCs/>
                <w:color w:val="1C1C18"/>
                <w:sz w:val="20"/>
                <w:szCs w:val="20"/>
              </w:rPr>
              <w:t xml:space="preserve">May 2025</w:t>
            </w:r>
          </w:p>
        </w:tc>
      </w:tr>
    </w:tbl>
    <w:p>
      <w:pPr>
        <w:spacing w:after="320" w:before="0"/>
      </w:pPr>
      <w:r>
        <w:t xml:space="preserve"/>
      </w:r>
    </w:p>
    <w:p>
      <w:pPr>
        <w:pBdr>
          <w:bottom w:val="single" w:color="0C2048" w:sz="8" w:space="6"/>
        </w:pBdr>
        <w:spacing w:after="160" w:before="400"/>
      </w:pPr>
      <w:r>
        <w:rPr>
          <w:rFonts w:ascii="Arial" w:cs="Arial" w:eastAsia="Arial" w:hAnsi="Arial"/>
          <w:b/>
          <w:bCs/>
          <w:color w:val="0C2048"/>
          <w:sz w:val="28"/>
          <w:szCs w:val="28"/>
        </w:rPr>
        <w:t xml:space="preserve">1. Executive Summary</w:t>
      </w:r>
    </w:p>
    <w:p>
      <w:pPr>
        <w:spacing w:after="160" w:before="0"/>
      </w:pPr>
      <w:r>
        <w:rPr>
          <w:rFonts w:ascii="Arial" w:cs="Arial" w:eastAsia="Arial" w:hAnsi="Arial"/>
          <w:color w:val="1C1C18"/>
          <w:sz w:val="22"/>
          <w:szCs w:val="22"/>
        </w:rPr>
        <w:t xml:space="preserve">Uganda faces a fiscal crisis driven by a widening tax gap and a debt-to-GDP ratio of 51.3% — with 67% of collected tax revenue going to debt servicing. The IMF's 2024 Article IV consultation identified domestic revenue mobilisation as the primary lever for fiscal sustainability. Uganda Fiscal Intelligence Platform Ltd has developed a suite of technology products that directly address the documented causes of Uganda's tax gap: EFRIS non-compliance, informal sector invisibility, invoice suppression, customs mis-invoicing, and weak procurement controls.</w:t>
      </w:r>
    </w:p>
    <w:p>
      <w:pPr>
        <w:spacing w:after="80" w:before="0"/>
      </w:pPr>
      <w:r>
        <w:t xml:space="preserve"/>
      </w:r>
    </w:p>
    <w:p>
      <w:pPr>
        <w:spacing w:after="160" w:before="0"/>
      </w:pPr>
      <w:r>
        <w:rPr>
          <w:rFonts w:ascii="Arial" w:cs="Arial" w:eastAsia="Arial" w:hAnsi="Arial"/>
          <w:color w:val="1C1C18"/>
          <w:sz w:val="22"/>
          <w:szCs w:val="22"/>
        </w:rPr>
        <w:t xml:space="preserve">We are requesting a technology partnership and co-funding arrangement to scale three platform components to national coverage: EFRIS Bridge (informal sector EFRIS compliance via USSD/WhatsApp), EFRIS Intelligence (AI-powered compliance analytics for URA), and Customs Intelligence (trade mis-invoicing detection via UN Comtrade cross-matching).</w:t>
      </w:r>
    </w:p>
    <w:p>
      <w:pPr>
        <w:spacing w:after="240" w:before="0"/>
      </w:pPr>
      <w:r>
        <w:t xml:space="preserve"/>
      </w:r>
    </w:p>
    <w:p>
      <w:pPr>
        <w:pBdr>
          <w:bottom w:val="single" w:color="0C2048" w:sz="8" w:space="6"/>
        </w:pBdr>
        <w:spacing w:after="160" w:before="400"/>
      </w:pPr>
      <w:r>
        <w:rPr>
          <w:rFonts w:ascii="Arial" w:cs="Arial" w:eastAsia="Arial" w:hAnsi="Arial"/>
          <w:b/>
          <w:bCs/>
          <w:color w:val="0C2048"/>
          <w:sz w:val="28"/>
          <w:szCs w:val="28"/>
        </w:rPr>
        <w:t xml:space="preserve">2. The Problem — Uganda's Revenue and Debt Crisis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C2048" w:sz="1"/>
              <w:left w:val="single" w:color="0C2048" w:sz="1"/>
              <w:bottom w:val="single" w:color="0C2048" w:sz="1"/>
              <w:right w:val="single" w:color="0C2048" w:sz="1"/>
            </w:tcBorders>
            <w:shd w:fill="0C2048" w:val="clear"/>
            <w:tcMar>
              <w:top w:type="dxa" w:w="80"/>
              <w:left w:type="dxa" w:w="140"/>
              <w:bottom w:type="dxa" w:w="80"/>
              <w:right w:type="dxa" w:w="140"/>
            </w:tcMar>
          </w:tcPr>
          <w:p>
            <w:r>
              <w:rPr>
                <w:rFonts w:ascii="Arial" w:cs="Arial" w:eastAsia="Arial" w:hAnsi="Arial"/>
                <w:b/>
                <w:bCs/>
                <w:color w:val="FFFFFF"/>
                <w:sz w:val="20"/>
                <w:szCs w:val="20"/>
              </w:rPr>
              <w:t xml:space="preserve">Indicator</w:t>
            </w:r>
          </w:p>
        </w:tc>
        <w:tc>
          <w:tcPr>
            <w:tcW w:type="dxa" w:w="4680"/>
            <w:tcBorders>
              <w:top w:val="single" w:color="0C2048" w:sz="1"/>
              <w:left w:val="single" w:color="0C2048" w:sz="1"/>
              <w:bottom w:val="single" w:color="0C2048" w:sz="1"/>
              <w:right w:val="single" w:color="0C2048" w:sz="1"/>
            </w:tcBorders>
            <w:shd w:fill="0C2048" w:val="clear"/>
            <w:tcMar>
              <w:top w:type="dxa" w:w="80"/>
              <w:left w:type="dxa" w:w="140"/>
              <w:bottom w:type="dxa" w:w="80"/>
              <w:right w:type="dxa" w:w="140"/>
            </w:tcMar>
          </w:tcPr>
          <w:p>
            <w:r>
              <w:rPr>
                <w:rFonts w:ascii="Arial" w:cs="Arial" w:eastAsia="Arial" w:hAnsi="Arial"/>
                <w:b/>
                <w:bCs/>
                <w:color w:val="FFFFFF"/>
                <w:sz w:val="20"/>
                <w:szCs w:val="20"/>
              </w:rPr>
              <w:t xml:space="preserve">Value (2025)</w:t>
            </w:r>
          </w:p>
        </w:tc>
      </w:tr>
      <w:tr>
        <w:tc>
          <w:tcPr>
            <w:tcW w:type="dxa" w:w="4680"/>
            <w:tcBorders>
              <w:top w:val="single" w:color="DDDDD8" w:sz="1"/>
              <w:left w:val="single" w:color="DDDDD8" w:sz="1"/>
              <w:bottom w:val="single" w:color="DDDDD8" w:sz="1"/>
              <w:right w:val="single" w:color="DDDDD8" w:sz="1"/>
            </w:tcBorders>
            <w:shd w:fill="FFFFFF" w:val="clear"/>
            <w:tcMar>
              <w:top w:type="dxa" w:w="80"/>
              <w:left w:type="dxa" w:w="140"/>
              <w:bottom w:type="dxa" w:w="80"/>
              <w:right w:type="dxa" w:w="140"/>
            </w:tcMar>
          </w:tcPr>
          <w:p>
            <w:r>
              <w:rPr>
                <w:rFonts w:ascii="Arial" w:cs="Arial" w:eastAsia="Arial" w:hAnsi="Arial"/>
                <w:color w:val="1C1C18"/>
                <w:sz w:val="21"/>
                <w:szCs w:val="21"/>
              </w:rPr>
              <w:t xml:space="preserve">Total public debt</w:t>
            </w:r>
          </w:p>
        </w:tc>
        <w:tc>
          <w:tcPr>
            <w:tcW w:type="dxa" w:w="4680"/>
            <w:tcBorders>
              <w:top w:val="single" w:color="DDDDD8" w:sz="1"/>
              <w:left w:val="single" w:color="DDDDD8" w:sz="1"/>
              <w:bottom w:val="single" w:color="DDDDD8" w:sz="1"/>
              <w:right w:val="single" w:color="DDDDD8" w:sz="1"/>
            </w:tcBorders>
            <w:shd w:fill="FFFFFF" w:val="clear"/>
            <w:tcMar>
              <w:top w:type="dxa" w:w="80"/>
              <w:left w:type="dxa" w:w="140"/>
              <w:bottom w:type="dxa" w:w="80"/>
              <w:right w:type="dxa" w:w="140"/>
            </w:tcMar>
          </w:tcPr>
          <w:p>
            <w:r>
              <w:rPr>
                <w:rFonts w:ascii="Arial" w:cs="Arial" w:eastAsia="Arial" w:hAnsi="Arial"/>
                <w:b/>
                <w:bCs/>
                <w:color w:val="0C2048"/>
                <w:sz w:val="21"/>
                <w:szCs w:val="21"/>
              </w:rPr>
              <w:t xml:space="preserve">UGX 116.2 trillion (51.3% of GDP)</w:t>
            </w:r>
          </w:p>
        </w:tc>
      </w:tr>
      <w:tr>
        <w:tc>
          <w:tcPr>
            <w:tcW w:type="dxa" w:w="4680"/>
            <w:tcBorders>
              <w:top w:val="single" w:color="DDDDD8" w:sz="1"/>
              <w:left w:val="single" w:color="DDDDD8" w:sz="1"/>
              <w:bottom w:val="single" w:color="DDDDD8" w:sz="1"/>
              <w:right w:val="single" w:color="DDDDD8" w:sz="1"/>
            </w:tcBorders>
            <w:shd w:fill="F5F5F0" w:val="clear"/>
            <w:tcMar>
              <w:top w:type="dxa" w:w="80"/>
              <w:left w:type="dxa" w:w="140"/>
              <w:bottom w:type="dxa" w:w="80"/>
              <w:right w:type="dxa" w:w="140"/>
            </w:tcMar>
          </w:tcPr>
          <w:p>
            <w:r>
              <w:rPr>
                <w:rFonts w:ascii="Arial" w:cs="Arial" w:eastAsia="Arial" w:hAnsi="Arial"/>
                <w:color w:val="1C1C18"/>
                <w:sz w:val="21"/>
                <w:szCs w:val="21"/>
              </w:rPr>
              <w:t xml:space="preserve">Debt servicing as % of revenue</w:t>
            </w:r>
          </w:p>
        </w:tc>
        <w:tc>
          <w:tcPr>
            <w:tcW w:type="dxa" w:w="4680"/>
            <w:tcBorders>
              <w:top w:val="single" w:color="DDDDD8" w:sz="1"/>
              <w:left w:val="single" w:color="DDDDD8" w:sz="1"/>
              <w:bottom w:val="single" w:color="DDDDD8" w:sz="1"/>
              <w:right w:val="single" w:color="DDDDD8" w:sz="1"/>
            </w:tcBorders>
            <w:shd w:fill="F5F5F0" w:val="clear"/>
            <w:tcMar>
              <w:top w:type="dxa" w:w="80"/>
              <w:left w:type="dxa" w:w="140"/>
              <w:bottom w:type="dxa" w:w="80"/>
              <w:right w:type="dxa" w:w="140"/>
            </w:tcMar>
          </w:tcPr>
          <w:p>
            <w:r>
              <w:rPr>
                <w:rFonts w:ascii="Arial" w:cs="Arial" w:eastAsia="Arial" w:hAnsi="Arial"/>
                <w:b/>
                <w:bCs/>
                <w:color w:val="0C2048"/>
                <w:sz w:val="21"/>
                <w:szCs w:val="21"/>
              </w:rPr>
              <w:t xml:space="preserve">67% — 57% of national budget</w:t>
            </w:r>
          </w:p>
        </w:tc>
      </w:tr>
      <w:tr>
        <w:tc>
          <w:tcPr>
            <w:tcW w:type="dxa" w:w="4680"/>
            <w:tcBorders>
              <w:top w:val="single" w:color="DDDDD8" w:sz="1"/>
              <w:left w:val="single" w:color="DDDDD8" w:sz="1"/>
              <w:bottom w:val="single" w:color="DDDDD8" w:sz="1"/>
              <w:right w:val="single" w:color="DDDDD8" w:sz="1"/>
            </w:tcBorders>
            <w:shd w:fill="FFFFFF" w:val="clear"/>
            <w:tcMar>
              <w:top w:type="dxa" w:w="80"/>
              <w:left w:type="dxa" w:w="140"/>
              <w:bottom w:type="dxa" w:w="80"/>
              <w:right w:type="dxa" w:w="140"/>
            </w:tcMar>
          </w:tcPr>
          <w:p>
            <w:r>
              <w:rPr>
                <w:rFonts w:ascii="Arial" w:cs="Arial" w:eastAsia="Arial" w:hAnsi="Arial"/>
                <w:color w:val="1C1C18"/>
                <w:sz w:val="21"/>
                <w:szCs w:val="21"/>
              </w:rPr>
              <w:t xml:space="preserve">2025 revenue target</w:t>
            </w:r>
          </w:p>
        </w:tc>
        <w:tc>
          <w:tcPr>
            <w:tcW w:type="dxa" w:w="4680"/>
            <w:tcBorders>
              <w:top w:val="single" w:color="DDDDD8" w:sz="1"/>
              <w:left w:val="single" w:color="DDDDD8" w:sz="1"/>
              <w:bottom w:val="single" w:color="DDDDD8" w:sz="1"/>
              <w:right w:val="single" w:color="DDDDD8" w:sz="1"/>
            </w:tcBorders>
            <w:shd w:fill="FFFFFF" w:val="clear"/>
            <w:tcMar>
              <w:top w:type="dxa" w:w="80"/>
              <w:left w:type="dxa" w:w="140"/>
              <w:bottom w:type="dxa" w:w="80"/>
              <w:right w:type="dxa" w:w="140"/>
            </w:tcMar>
          </w:tcPr>
          <w:p>
            <w:r>
              <w:rPr>
                <w:rFonts w:ascii="Arial" w:cs="Arial" w:eastAsia="Arial" w:hAnsi="Arial"/>
                <w:b/>
                <w:bCs/>
                <w:color w:val="0C2048"/>
                <w:sz w:val="21"/>
                <w:szCs w:val="21"/>
              </w:rPr>
              <w:t xml:space="preserve">UGX 29.0 trillion</w:t>
            </w:r>
          </w:p>
        </w:tc>
      </w:tr>
      <w:tr>
        <w:tc>
          <w:tcPr>
            <w:tcW w:type="dxa" w:w="4680"/>
            <w:tcBorders>
              <w:top w:val="single" w:color="DDDDD8" w:sz="1"/>
              <w:left w:val="single" w:color="DDDDD8" w:sz="1"/>
              <w:bottom w:val="single" w:color="DDDDD8" w:sz="1"/>
              <w:right w:val="single" w:color="DDDDD8" w:sz="1"/>
            </w:tcBorders>
            <w:shd w:fill="F5F5F0" w:val="clear"/>
            <w:tcMar>
              <w:top w:type="dxa" w:w="80"/>
              <w:left w:type="dxa" w:w="140"/>
              <w:bottom w:type="dxa" w:w="80"/>
              <w:right w:type="dxa" w:w="140"/>
            </w:tcMar>
          </w:tcPr>
          <w:p>
            <w:r>
              <w:rPr>
                <w:rFonts w:ascii="Arial" w:cs="Arial" w:eastAsia="Arial" w:hAnsi="Arial"/>
                <w:color w:val="1C1C18"/>
                <w:sz w:val="21"/>
                <w:szCs w:val="21"/>
              </w:rPr>
              <w:t xml:space="preserve">Actual revenue collected</w:t>
            </w:r>
          </w:p>
        </w:tc>
        <w:tc>
          <w:tcPr>
            <w:tcW w:type="dxa" w:w="4680"/>
            <w:tcBorders>
              <w:top w:val="single" w:color="DDDDD8" w:sz="1"/>
              <w:left w:val="single" w:color="DDDDD8" w:sz="1"/>
              <w:bottom w:val="single" w:color="DDDDD8" w:sz="1"/>
              <w:right w:val="single" w:color="DDDDD8" w:sz="1"/>
            </w:tcBorders>
            <w:shd w:fill="F5F5F0" w:val="clear"/>
            <w:tcMar>
              <w:top w:type="dxa" w:w="80"/>
              <w:left w:type="dxa" w:w="140"/>
              <w:bottom w:type="dxa" w:w="80"/>
              <w:right w:type="dxa" w:w="140"/>
            </w:tcMar>
          </w:tcPr>
          <w:p>
            <w:r>
              <w:rPr>
                <w:rFonts w:ascii="Arial" w:cs="Arial" w:eastAsia="Arial" w:hAnsi="Arial"/>
                <w:b/>
                <w:bCs/>
                <w:color w:val="0C2048"/>
                <w:sz w:val="21"/>
                <w:szCs w:val="21"/>
              </w:rPr>
              <w:t xml:space="preserve">UGX 27.3 trillion (shortfall: UGX 1.7T)</w:t>
            </w:r>
          </w:p>
        </w:tc>
      </w:tr>
      <w:tr>
        <w:tc>
          <w:tcPr>
            <w:tcW w:type="dxa" w:w="4680"/>
            <w:tcBorders>
              <w:top w:val="single" w:color="DDDDD8" w:sz="1"/>
              <w:left w:val="single" w:color="DDDDD8" w:sz="1"/>
              <w:bottom w:val="single" w:color="DDDDD8" w:sz="1"/>
              <w:right w:val="single" w:color="DDDDD8" w:sz="1"/>
            </w:tcBorders>
            <w:shd w:fill="FFFFFF" w:val="clear"/>
            <w:tcMar>
              <w:top w:type="dxa" w:w="80"/>
              <w:left w:type="dxa" w:w="140"/>
              <w:bottom w:type="dxa" w:w="80"/>
              <w:right w:type="dxa" w:w="140"/>
            </w:tcMar>
          </w:tcPr>
          <w:p>
            <w:r>
              <w:rPr>
                <w:rFonts w:ascii="Arial" w:cs="Arial" w:eastAsia="Arial" w:hAnsi="Arial"/>
                <w:color w:val="1C1C18"/>
                <w:sz w:val="21"/>
                <w:szCs w:val="21"/>
              </w:rPr>
              <w:t xml:space="preserve">Tax-to-GDP ratio</w:t>
            </w:r>
          </w:p>
        </w:tc>
        <w:tc>
          <w:tcPr>
            <w:tcW w:type="dxa" w:w="4680"/>
            <w:tcBorders>
              <w:top w:val="single" w:color="DDDDD8" w:sz="1"/>
              <w:left w:val="single" w:color="DDDDD8" w:sz="1"/>
              <w:bottom w:val="single" w:color="DDDDD8" w:sz="1"/>
              <w:right w:val="single" w:color="DDDDD8" w:sz="1"/>
            </w:tcBorders>
            <w:shd w:fill="FFFFFF" w:val="clear"/>
            <w:tcMar>
              <w:top w:type="dxa" w:w="80"/>
              <w:left w:type="dxa" w:w="140"/>
              <w:bottom w:type="dxa" w:w="80"/>
              <w:right w:type="dxa" w:w="140"/>
            </w:tcMar>
          </w:tcPr>
          <w:p>
            <w:r>
              <w:rPr>
                <w:rFonts w:ascii="Arial" w:cs="Arial" w:eastAsia="Arial" w:hAnsi="Arial"/>
                <w:b/>
                <w:bCs/>
                <w:color w:val="0C2048"/>
                <w:sz w:val="21"/>
                <w:szCs w:val="21"/>
              </w:rPr>
              <w:t xml:space="preserve">13.8% (target: 20%)</w:t>
            </w:r>
          </w:p>
        </w:tc>
      </w:tr>
      <w:tr>
        <w:tc>
          <w:tcPr>
            <w:tcW w:type="dxa" w:w="4680"/>
            <w:tcBorders>
              <w:top w:val="single" w:color="DDDDD8" w:sz="1"/>
              <w:left w:val="single" w:color="DDDDD8" w:sz="1"/>
              <w:bottom w:val="single" w:color="DDDDD8" w:sz="1"/>
              <w:right w:val="single" w:color="DDDDD8" w:sz="1"/>
            </w:tcBorders>
            <w:shd w:fill="F5F5F0" w:val="clear"/>
            <w:tcMar>
              <w:top w:type="dxa" w:w="80"/>
              <w:left w:type="dxa" w:w="140"/>
              <w:bottom w:type="dxa" w:w="80"/>
              <w:right w:type="dxa" w:w="140"/>
            </w:tcMar>
          </w:tcPr>
          <w:p>
            <w:r>
              <w:rPr>
                <w:rFonts w:ascii="Arial" w:cs="Arial" w:eastAsia="Arial" w:hAnsi="Arial"/>
                <w:color w:val="1C1C18"/>
                <w:sz w:val="21"/>
                <w:szCs w:val="21"/>
              </w:rPr>
              <w:t xml:space="preserve">EFRIS compliance rate</w:t>
            </w:r>
          </w:p>
        </w:tc>
        <w:tc>
          <w:tcPr>
            <w:tcW w:type="dxa" w:w="4680"/>
            <w:tcBorders>
              <w:top w:val="single" w:color="DDDDD8" w:sz="1"/>
              <w:left w:val="single" w:color="DDDDD8" w:sz="1"/>
              <w:bottom w:val="single" w:color="DDDDD8" w:sz="1"/>
              <w:right w:val="single" w:color="DDDDD8" w:sz="1"/>
            </w:tcBorders>
            <w:shd w:fill="F5F5F0" w:val="clear"/>
            <w:tcMar>
              <w:top w:type="dxa" w:w="80"/>
              <w:left w:type="dxa" w:w="140"/>
              <w:bottom w:type="dxa" w:w="80"/>
              <w:right w:type="dxa" w:w="140"/>
            </w:tcMar>
          </w:tcPr>
          <w:p>
            <w:r>
              <w:rPr>
                <w:rFonts w:ascii="Arial" w:cs="Arial" w:eastAsia="Arial" w:hAnsi="Arial"/>
                <w:b/>
                <w:bCs/>
                <w:color w:val="0C2048"/>
                <w:sz w:val="21"/>
                <w:szCs w:val="21"/>
              </w:rPr>
              <w:t xml:space="preserve">48.5% — flat for 5 months</w:t>
            </w:r>
          </w:p>
        </w:tc>
      </w:tr>
      <w:tr>
        <w:tc>
          <w:tcPr>
            <w:tcW w:type="dxa" w:w="4680"/>
            <w:tcBorders>
              <w:top w:val="single" w:color="DDDDD8" w:sz="1"/>
              <w:left w:val="single" w:color="DDDDD8" w:sz="1"/>
              <w:bottom w:val="single" w:color="DDDDD8" w:sz="1"/>
              <w:right w:val="single" w:color="DDDDD8" w:sz="1"/>
            </w:tcBorders>
            <w:shd w:fill="FFFFFF" w:val="clear"/>
            <w:tcMar>
              <w:top w:type="dxa" w:w="80"/>
              <w:left w:type="dxa" w:w="140"/>
              <w:bottom w:type="dxa" w:w="80"/>
              <w:right w:type="dxa" w:w="140"/>
            </w:tcMar>
          </w:tcPr>
          <w:p>
            <w:r>
              <w:rPr>
                <w:rFonts w:ascii="Arial" w:cs="Arial" w:eastAsia="Arial" w:hAnsi="Arial"/>
                <w:color w:val="1C1C18"/>
                <w:sz w:val="21"/>
                <w:szCs w:val="21"/>
              </w:rPr>
              <w:t xml:space="preserve">Informal economy share</w:t>
            </w:r>
          </w:p>
        </w:tc>
        <w:tc>
          <w:tcPr>
            <w:tcW w:type="dxa" w:w="4680"/>
            <w:tcBorders>
              <w:top w:val="single" w:color="DDDDD8" w:sz="1"/>
              <w:left w:val="single" w:color="DDDDD8" w:sz="1"/>
              <w:bottom w:val="single" w:color="DDDDD8" w:sz="1"/>
              <w:right w:val="single" w:color="DDDDD8" w:sz="1"/>
            </w:tcBorders>
            <w:shd w:fill="FFFFFF" w:val="clear"/>
            <w:tcMar>
              <w:top w:type="dxa" w:w="80"/>
              <w:left w:type="dxa" w:w="140"/>
              <w:bottom w:type="dxa" w:w="80"/>
              <w:right w:type="dxa" w:w="140"/>
            </w:tcMar>
          </w:tcPr>
          <w:p>
            <w:r>
              <w:rPr>
                <w:rFonts w:ascii="Arial" w:cs="Arial" w:eastAsia="Arial" w:hAnsi="Arial"/>
                <w:b/>
                <w:bCs/>
                <w:color w:val="0C2048"/>
                <w:sz w:val="21"/>
                <w:szCs w:val="21"/>
              </w:rPr>
              <w:t xml:space="preserve">~80% — largely outside tax net</w:t>
            </w:r>
          </w:p>
        </w:tc>
      </w:tr>
      <w:tr>
        <w:tc>
          <w:tcPr>
            <w:tcW w:type="dxa" w:w="4680"/>
            <w:tcBorders>
              <w:top w:val="single" w:color="DDDDD8" w:sz="1"/>
              <w:left w:val="single" w:color="DDDDD8" w:sz="1"/>
              <w:bottom w:val="single" w:color="DDDDD8" w:sz="1"/>
              <w:right w:val="single" w:color="DDDDD8" w:sz="1"/>
            </w:tcBorders>
            <w:shd w:fill="F5F5F0" w:val="clear"/>
            <w:tcMar>
              <w:top w:type="dxa" w:w="80"/>
              <w:left w:type="dxa" w:w="140"/>
              <w:bottom w:type="dxa" w:w="80"/>
              <w:right w:type="dxa" w:w="140"/>
            </w:tcMar>
          </w:tcPr>
          <w:p>
            <w:r>
              <w:rPr>
                <w:rFonts w:ascii="Arial" w:cs="Arial" w:eastAsia="Arial" w:hAnsi="Arial"/>
                <w:color w:val="1C1C18"/>
                <w:sz w:val="21"/>
                <w:szCs w:val="21"/>
              </w:rPr>
              <w:t xml:space="preserve">Annual trade mis-invoicing loss</w:t>
            </w:r>
          </w:p>
        </w:tc>
        <w:tc>
          <w:tcPr>
            <w:tcW w:type="dxa" w:w="4680"/>
            <w:tcBorders>
              <w:top w:val="single" w:color="DDDDD8" w:sz="1"/>
              <w:left w:val="single" w:color="DDDDD8" w:sz="1"/>
              <w:bottom w:val="single" w:color="DDDDD8" w:sz="1"/>
              <w:right w:val="single" w:color="DDDDD8" w:sz="1"/>
            </w:tcBorders>
            <w:shd w:fill="F5F5F0" w:val="clear"/>
            <w:tcMar>
              <w:top w:type="dxa" w:w="80"/>
              <w:left w:type="dxa" w:w="140"/>
              <w:bottom w:type="dxa" w:w="80"/>
              <w:right w:type="dxa" w:w="140"/>
            </w:tcMar>
          </w:tcPr>
          <w:p>
            <w:r>
              <w:rPr>
                <w:rFonts w:ascii="Arial" w:cs="Arial" w:eastAsia="Arial" w:hAnsi="Arial"/>
                <w:b/>
                <w:bCs/>
                <w:color w:val="0C2048"/>
                <w:sz w:val="21"/>
                <w:szCs w:val="21"/>
              </w:rPr>
              <w:t xml:space="preserve">USD 6.6 billion (34.7% of national budget)</w:t>
            </w:r>
          </w:p>
        </w:tc>
      </w:tr>
    </w:tbl>
    <w:p>
      <w:pPr>
        <w:spacing w:after="320" w:before="0"/>
      </w:pPr>
      <w:r>
        <w:t xml:space="preserve"/>
      </w:r>
    </w:p>
    <w:p>
      <w:pPr>
        <w:pBdr>
          <w:bottom w:val="single" w:color="0C2048" w:sz="8" w:space="6"/>
        </w:pBdr>
        <w:spacing w:after="160" w:before="400"/>
      </w:pPr>
      <w:r>
        <w:rPr>
          <w:rFonts w:ascii="Arial" w:cs="Arial" w:eastAsia="Arial" w:hAnsi="Arial"/>
          <w:b/>
          <w:bCs/>
          <w:color w:val="0C2048"/>
          <w:sz w:val="28"/>
          <w:szCs w:val="28"/>
        </w:rPr>
        <w:t xml:space="preserve">3. Our Solution — Three Products for National Scale</w:t>
      </w:r>
    </w:p>
    <w:p>
      <w:pPr>
        <w:spacing w:after="120" w:before="280"/>
      </w:pPr>
      <w:r>
        <w:rPr>
          <w:rFonts w:ascii="Arial" w:cs="Arial" w:eastAsia="Arial" w:hAnsi="Arial"/>
          <w:b/>
          <w:bCs/>
          <w:color w:val="0C2048"/>
          <w:sz w:val="24"/>
          <w:szCs w:val="24"/>
        </w:rPr>
        <w:t xml:space="preserve">3.1 EFRIS Bridge — Informal Sector Tax Capture</w:t>
      </w:r>
    </w:p>
    <w:p>
      <w:pPr>
        <w:spacing w:after="160" w:before="0"/>
      </w:pPr>
      <w:r>
        <w:rPr>
          <w:rFonts w:ascii="Arial" w:cs="Arial" w:eastAsia="Arial" w:hAnsi="Arial"/>
          <w:color w:val="1C1C18"/>
          <w:sz w:val="22"/>
          <w:szCs w:val="22"/>
        </w:rPr>
        <w:t xml:space="preserve">EFRIS Bridge enables any informal trader to issue an EFRIS-compliant e-receipt via USSD *284# or WhatsApp — on any MTN/Airtel phone, without internet or hardware. Current pilot: 14,820 businesses, UGX 3.8 billion in new monthly tax revenue. Rwanda's comparable mobile money tax system generated USD 180M equivalent in year one. Uganda has 3x more mobile money accounts than Rwanda.</w:t>
      </w:r>
    </w:p>
    <w:p>
      <w:pPr>
        <w:spacing w:after="160" w:before="0"/>
      </w:pPr>
      <w:r>
        <w:t xml:space="preserve"/>
      </w:r>
    </w:p>
    <w:p>
      <w:pPr>
        <w:spacing w:after="120" w:before="280"/>
      </w:pPr>
      <w:r>
        <w:rPr>
          <w:rFonts w:ascii="Arial" w:cs="Arial" w:eastAsia="Arial" w:hAnsi="Arial"/>
          <w:b/>
          <w:bCs/>
          <w:color w:val="0C2048"/>
          <w:sz w:val="24"/>
          <w:szCs w:val="24"/>
        </w:rPr>
        <w:t xml:space="preserve">3.2 EFRIS Intelligence — AI Compliance Analytics for URA</w:t>
      </w:r>
    </w:p>
    <w:p>
      <w:pPr>
        <w:spacing w:after="160" w:before="0"/>
      </w:pPr>
      <w:r>
        <w:rPr>
          <w:rFonts w:ascii="Arial" w:cs="Arial" w:eastAsia="Arial" w:hAnsi="Arial"/>
          <w:color w:val="1C1C18"/>
          <w:sz w:val="22"/>
          <w:szCs w:val="22"/>
        </w:rPr>
        <w:t xml:space="preserve">Machine learning anomaly detection identifies businesses whose EFRIS declarations are inconsistent with external wealth signals (vehicles, property, MoMo transaction volumes). Current model accuracy: 94.2%. Last quarter's AI-targeted audits recovered UGX 840M per audit on average versus UGX 82M from random inspections — 10.2x improvement. Also includes dormant taxpayer re-engagement automation (4,821 identified, 18% response rate in pilot).</w:t>
      </w:r>
    </w:p>
    <w:p>
      <w:pPr>
        <w:spacing w:after="160" w:before="0"/>
      </w:pPr>
      <w:r>
        <w:t xml:space="preserve"/>
      </w:r>
    </w:p>
    <w:p>
      <w:pPr>
        <w:spacing w:after="120" w:before="280"/>
      </w:pPr>
      <w:r>
        <w:rPr>
          <w:rFonts w:ascii="Arial" w:cs="Arial" w:eastAsia="Arial" w:hAnsi="Arial"/>
          <w:b/>
          <w:bCs/>
          <w:color w:val="0C2048"/>
          <w:sz w:val="24"/>
          <w:szCs w:val="24"/>
        </w:rPr>
        <w:t xml:space="preserve">3.3 Customs Intelligence — Trade Mis-Invoicing Detection</w:t>
      </w:r>
    </w:p>
    <w:p>
      <w:pPr>
        <w:spacing w:after="160" w:before="0"/>
      </w:pPr>
      <w:r>
        <w:rPr>
          <w:rFonts w:ascii="Arial" w:cs="Arial" w:eastAsia="Arial" w:hAnsi="Arial"/>
          <w:color w:val="1C1C18"/>
          <w:sz w:val="22"/>
          <w:szCs w:val="22"/>
        </w:rPr>
        <w:t xml:space="preserve">Every import declaration is automatically cross-matched against UN Comtrade benchmark prices and Kenya Revenue Authority export data for the same shipment. Declarations more than 20% below benchmark are flagged for inspection. Current pilot: UGX 4.8 billion in additional monthly duty recovered. 11.4x improvement over traditional random inspections.</w:t>
      </w:r>
    </w:p>
    <w:p>
      <w:pPr>
        <w:spacing w:after="240" w:before="0"/>
      </w:pPr>
      <w:r>
        <w:t xml:space="preserve"/>
      </w:r>
    </w:p>
    <w:p>
      <w:pPr>
        <w:pBdr>
          <w:bottom w:val="single" w:color="0C2048" w:sz="8" w:space="6"/>
        </w:pBdr>
        <w:spacing w:after="160" w:before="400"/>
      </w:pPr>
      <w:r>
        <w:rPr>
          <w:rFonts w:ascii="Arial" w:cs="Arial" w:eastAsia="Arial" w:hAnsi="Arial"/>
          <w:b/>
          <w:bCs/>
          <w:color w:val="0C2048"/>
          <w:sz w:val="28"/>
          <w:szCs w:val="28"/>
        </w:rPr>
        <w:t xml:space="preserve">4. Funding Request and Use of Funds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0C2048" w:sz="1"/>
              <w:left w:val="single" w:color="0C2048" w:sz="1"/>
              <w:bottom w:val="single" w:color="0C2048" w:sz="1"/>
              <w:right w:val="single" w:color="0C2048" w:sz="1"/>
            </w:tcBorders>
            <w:shd w:fill="0C2048"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2340"/>
            <w:tcBorders>
              <w:top w:val="single" w:color="0C2048" w:sz="1"/>
              <w:left w:val="single" w:color="0C2048" w:sz="1"/>
              <w:bottom w:val="single" w:color="0C2048" w:sz="1"/>
              <w:right w:val="single" w:color="0C2048" w:sz="1"/>
            </w:tcBorders>
            <w:shd w:fill="0C2048" w:val="clear"/>
            <w:tcMar>
              <w:top w:type="dxa" w:w="80"/>
              <w:left w:type="dxa" w:w="140"/>
              <w:bottom w:type="dxa" w:w="80"/>
              <w:right w:type="dxa" w:w="140"/>
            </w:tcMar>
          </w:tcPr>
          <w:p>
            <w:r>
              <w:rPr>
                <w:rFonts w:ascii="Arial" w:cs="Arial" w:eastAsia="Arial" w:hAnsi="Arial"/>
                <w:b/>
                <w:bCs/>
                <w:color w:val="FFFFFF"/>
                <w:sz w:val="20"/>
                <w:szCs w:val="20"/>
              </w:rPr>
              <w:t xml:space="preserve">12-Month Budget</w:t>
            </w:r>
          </w:p>
        </w:tc>
        <w:tc>
          <w:tcPr>
            <w:tcW w:type="dxa" w:w="2340"/>
            <w:tcBorders>
              <w:top w:val="single" w:color="0C2048" w:sz="1"/>
              <w:left w:val="single" w:color="0C2048" w:sz="1"/>
              <w:bottom w:val="single" w:color="0C2048" w:sz="1"/>
              <w:right w:val="single" w:color="0C2048" w:sz="1"/>
            </w:tcBorders>
            <w:shd w:fill="0C2048" w:val="clear"/>
            <w:tcMar>
              <w:top w:type="dxa" w:w="80"/>
              <w:left w:type="dxa" w:w="140"/>
              <w:bottom w:type="dxa" w:w="80"/>
              <w:right w:type="dxa" w:w="140"/>
            </w:tcMar>
          </w:tcPr>
          <w:p>
            <w:r>
              <w:rPr>
                <w:rFonts w:ascii="Arial" w:cs="Arial" w:eastAsia="Arial" w:hAnsi="Arial"/>
                <w:b/>
                <w:bCs/>
                <w:color w:val="FFFFFF"/>
                <w:sz w:val="20"/>
                <w:szCs w:val="20"/>
              </w:rPr>
              <w:t xml:space="preserve">Expected Tax Impact</w:t>
            </w:r>
          </w:p>
        </w:tc>
      </w:tr>
      <w:tr>
        <w:tc>
          <w:tcPr>
            <w:tcW w:type="dxa" w:w="4680"/>
            <w:tcBorders>
              <w:top w:val="single" w:color="DDDDD8" w:sz="1"/>
              <w:left w:val="single" w:color="DDDDD8" w:sz="1"/>
              <w:bottom w:val="single" w:color="DDDDD8" w:sz="1"/>
              <w:right w:val="single" w:color="DDDDD8" w:sz="1"/>
            </w:tcBorders>
            <w:shd w:fill="FFFFFF" w:val="clear"/>
            <w:tcMar>
              <w:top w:type="dxa" w:w="80"/>
              <w:left w:type="dxa" w:w="140"/>
              <w:bottom w:type="dxa" w:w="80"/>
              <w:right w:type="dxa" w:w="140"/>
            </w:tcMar>
          </w:tcPr>
          <w:p>
            <w:r>
              <w:rPr>
                <w:rFonts w:ascii="Arial" w:cs="Arial" w:eastAsia="Arial" w:hAnsi="Arial"/>
                <w:b w:val="false"/>
                <w:bCs w:val="false"/>
                <w:color w:val="1C1C18"/>
                <w:sz w:val="21"/>
                <w:szCs w:val="21"/>
              </w:rPr>
              <w:t xml:space="preserve">EFRIS Bridge — national scale to 100,000 businesses</w:t>
            </w:r>
          </w:p>
        </w:tc>
        <w:tc>
          <w:tcPr>
            <w:tcW w:type="dxa" w:w="2340"/>
            <w:tcBorders>
              <w:top w:val="single" w:color="DDDDD8" w:sz="1"/>
              <w:left w:val="single" w:color="DDDDD8" w:sz="1"/>
              <w:bottom w:val="single" w:color="DDDDD8" w:sz="1"/>
              <w:right w:val="single" w:color="DDDDD8" w:sz="1"/>
            </w:tcBorders>
            <w:shd w:fill="FFFFFF" w:val="clear"/>
            <w:tcMar>
              <w:top w:type="dxa" w:w="80"/>
              <w:left w:type="dxa" w:w="140"/>
              <w:bottom w:type="dxa" w:w="80"/>
              <w:right w:type="dxa" w:w="140"/>
            </w:tcMar>
          </w:tcPr>
          <w:p>
            <w:r>
              <w:rPr>
                <w:rFonts w:ascii="Arial" w:cs="Arial" w:eastAsia="Arial" w:hAnsi="Arial"/>
                <w:b w:val="false"/>
                <w:bCs w:val="false"/>
                <w:color w:val="0C2048"/>
                <w:sz w:val="21"/>
                <w:szCs w:val="21"/>
              </w:rPr>
              <w:t xml:space="preserve">UGX 800M</w:t>
            </w:r>
          </w:p>
        </w:tc>
        <w:tc>
          <w:tcPr>
            <w:tcW w:type="dxa" w:w="2340"/>
            <w:tcBorders>
              <w:top w:val="single" w:color="DDDDD8" w:sz="1"/>
              <w:left w:val="single" w:color="DDDDD8" w:sz="1"/>
              <w:bottom w:val="single" w:color="DDDDD8" w:sz="1"/>
              <w:right w:val="single" w:color="DDDDD8" w:sz="1"/>
            </w:tcBorders>
            <w:shd w:fill="FFFFFF" w:val="clear"/>
            <w:tcMar>
              <w:top w:type="dxa" w:w="80"/>
              <w:left w:type="dxa" w:w="140"/>
              <w:bottom w:type="dxa" w:w="80"/>
              <w:right w:type="dxa" w:w="140"/>
            </w:tcMar>
          </w:tcPr>
          <w:p>
            <w:r>
              <w:rPr>
                <w:rFonts w:ascii="Arial" w:cs="Arial" w:eastAsia="Arial" w:hAnsi="Arial"/>
                <w:b w:val="false"/>
                <w:bCs w:val="false"/>
                <w:color w:val="1C1C18"/>
                <w:sz w:val="21"/>
                <w:szCs w:val="21"/>
              </w:rPr>
              <w:t xml:space="preserve">UGX 25B+ / year</w:t>
            </w:r>
          </w:p>
        </w:tc>
      </w:tr>
      <w:tr>
        <w:tc>
          <w:tcPr>
            <w:tcW w:type="dxa" w:w="4680"/>
            <w:tcBorders>
              <w:top w:val="single" w:color="DDDDD8" w:sz="1"/>
              <w:left w:val="single" w:color="DDDDD8" w:sz="1"/>
              <w:bottom w:val="single" w:color="DDDDD8" w:sz="1"/>
              <w:right w:val="single" w:color="DDDDD8" w:sz="1"/>
            </w:tcBorders>
            <w:shd w:fill="F5F5F0" w:val="clear"/>
            <w:tcMar>
              <w:top w:type="dxa" w:w="80"/>
              <w:left w:type="dxa" w:w="140"/>
              <w:bottom w:type="dxa" w:w="80"/>
              <w:right w:type="dxa" w:w="140"/>
            </w:tcMar>
          </w:tcPr>
          <w:p>
            <w:r>
              <w:rPr>
                <w:rFonts w:ascii="Arial" w:cs="Arial" w:eastAsia="Arial" w:hAnsi="Arial"/>
                <w:b w:val="false"/>
                <w:bCs w:val="false"/>
                <w:color w:val="1C1C18"/>
                <w:sz w:val="21"/>
                <w:szCs w:val="21"/>
              </w:rPr>
              <w:t xml:space="preserve">EFRIS Intelligence — URA data integration &amp; AI model</w:t>
            </w:r>
          </w:p>
        </w:tc>
        <w:tc>
          <w:tcPr>
            <w:tcW w:type="dxa" w:w="2340"/>
            <w:tcBorders>
              <w:top w:val="single" w:color="DDDDD8" w:sz="1"/>
              <w:left w:val="single" w:color="DDDDD8" w:sz="1"/>
              <w:bottom w:val="single" w:color="DDDDD8" w:sz="1"/>
              <w:right w:val="single" w:color="DDDDD8" w:sz="1"/>
            </w:tcBorders>
            <w:shd w:fill="F5F5F0" w:val="clear"/>
            <w:tcMar>
              <w:top w:type="dxa" w:w="80"/>
              <w:left w:type="dxa" w:w="140"/>
              <w:bottom w:type="dxa" w:w="80"/>
              <w:right w:type="dxa" w:w="140"/>
            </w:tcMar>
          </w:tcPr>
          <w:p>
            <w:r>
              <w:rPr>
                <w:rFonts w:ascii="Arial" w:cs="Arial" w:eastAsia="Arial" w:hAnsi="Arial"/>
                <w:b w:val="false"/>
                <w:bCs w:val="false"/>
                <w:color w:val="0C2048"/>
                <w:sz w:val="21"/>
                <w:szCs w:val="21"/>
              </w:rPr>
              <w:t xml:space="preserve">UGX 400M</w:t>
            </w:r>
          </w:p>
        </w:tc>
        <w:tc>
          <w:tcPr>
            <w:tcW w:type="dxa" w:w="2340"/>
            <w:tcBorders>
              <w:top w:val="single" w:color="DDDDD8" w:sz="1"/>
              <w:left w:val="single" w:color="DDDDD8" w:sz="1"/>
              <w:bottom w:val="single" w:color="DDDDD8" w:sz="1"/>
              <w:right w:val="single" w:color="DDDDD8" w:sz="1"/>
            </w:tcBorders>
            <w:shd w:fill="F5F5F0" w:val="clear"/>
            <w:tcMar>
              <w:top w:type="dxa" w:w="80"/>
              <w:left w:type="dxa" w:w="140"/>
              <w:bottom w:type="dxa" w:w="80"/>
              <w:right w:type="dxa" w:w="140"/>
            </w:tcMar>
          </w:tcPr>
          <w:p>
            <w:r>
              <w:rPr>
                <w:rFonts w:ascii="Arial" w:cs="Arial" w:eastAsia="Arial" w:hAnsi="Arial"/>
                <w:b w:val="false"/>
                <w:bCs w:val="false"/>
                <w:color w:val="1C1C18"/>
                <w:sz w:val="21"/>
                <w:szCs w:val="21"/>
              </w:rPr>
              <w:t xml:space="preserve">UGX 100B+ / year (audit-led)</w:t>
            </w:r>
          </w:p>
        </w:tc>
      </w:tr>
      <w:tr>
        <w:tc>
          <w:tcPr>
            <w:tcW w:type="dxa" w:w="4680"/>
            <w:tcBorders>
              <w:top w:val="single" w:color="DDDDD8" w:sz="1"/>
              <w:left w:val="single" w:color="DDDDD8" w:sz="1"/>
              <w:bottom w:val="single" w:color="DDDDD8" w:sz="1"/>
              <w:right w:val="single" w:color="DDDDD8" w:sz="1"/>
            </w:tcBorders>
            <w:shd w:fill="FFFFFF" w:val="clear"/>
            <w:tcMar>
              <w:top w:type="dxa" w:w="80"/>
              <w:left w:type="dxa" w:w="140"/>
              <w:bottom w:type="dxa" w:w="80"/>
              <w:right w:type="dxa" w:w="140"/>
            </w:tcMar>
          </w:tcPr>
          <w:p>
            <w:r>
              <w:rPr>
                <w:rFonts w:ascii="Arial" w:cs="Arial" w:eastAsia="Arial" w:hAnsi="Arial"/>
                <w:b w:val="false"/>
                <w:bCs w:val="false"/>
                <w:color w:val="1C1C18"/>
                <w:sz w:val="21"/>
                <w:szCs w:val="21"/>
              </w:rPr>
              <w:t xml:space="preserve">Customs Intelligence — EAC data MOU &amp; integration</w:t>
            </w:r>
          </w:p>
        </w:tc>
        <w:tc>
          <w:tcPr>
            <w:tcW w:type="dxa" w:w="2340"/>
            <w:tcBorders>
              <w:top w:val="single" w:color="DDDDD8" w:sz="1"/>
              <w:left w:val="single" w:color="DDDDD8" w:sz="1"/>
              <w:bottom w:val="single" w:color="DDDDD8" w:sz="1"/>
              <w:right w:val="single" w:color="DDDDD8" w:sz="1"/>
            </w:tcBorders>
            <w:shd w:fill="FFFFFF" w:val="clear"/>
            <w:tcMar>
              <w:top w:type="dxa" w:w="80"/>
              <w:left w:type="dxa" w:w="140"/>
              <w:bottom w:type="dxa" w:w="80"/>
              <w:right w:type="dxa" w:w="140"/>
            </w:tcMar>
          </w:tcPr>
          <w:p>
            <w:r>
              <w:rPr>
                <w:rFonts w:ascii="Arial" w:cs="Arial" w:eastAsia="Arial" w:hAnsi="Arial"/>
                <w:b w:val="false"/>
                <w:bCs w:val="false"/>
                <w:color w:val="0C2048"/>
                <w:sz w:val="21"/>
                <w:szCs w:val="21"/>
              </w:rPr>
              <w:t xml:space="preserve">UGX 600M</w:t>
            </w:r>
          </w:p>
        </w:tc>
        <w:tc>
          <w:tcPr>
            <w:tcW w:type="dxa" w:w="2340"/>
            <w:tcBorders>
              <w:top w:val="single" w:color="DDDDD8" w:sz="1"/>
              <w:left w:val="single" w:color="DDDDD8" w:sz="1"/>
              <w:bottom w:val="single" w:color="DDDDD8" w:sz="1"/>
              <w:right w:val="single" w:color="DDDDD8" w:sz="1"/>
            </w:tcBorders>
            <w:shd w:fill="FFFFFF" w:val="clear"/>
            <w:tcMar>
              <w:top w:type="dxa" w:w="80"/>
              <w:left w:type="dxa" w:w="140"/>
              <w:bottom w:type="dxa" w:w="80"/>
              <w:right w:type="dxa" w:w="140"/>
            </w:tcMar>
          </w:tcPr>
          <w:p>
            <w:r>
              <w:rPr>
                <w:rFonts w:ascii="Arial" w:cs="Arial" w:eastAsia="Arial" w:hAnsi="Arial"/>
                <w:b w:val="false"/>
                <w:bCs w:val="false"/>
                <w:color w:val="1C1C18"/>
                <w:sz w:val="21"/>
                <w:szCs w:val="21"/>
              </w:rPr>
              <w:t xml:space="preserve">UGX 60B+ / year</w:t>
            </w:r>
          </w:p>
        </w:tc>
      </w:tr>
      <w:tr>
        <w:tc>
          <w:tcPr>
            <w:tcW w:type="dxa" w:w="4680"/>
            <w:tcBorders>
              <w:top w:val="single" w:color="DDDDD8" w:sz="1"/>
              <w:left w:val="single" w:color="DDDDD8" w:sz="1"/>
              <w:bottom w:val="single" w:color="DDDDD8" w:sz="1"/>
              <w:right w:val="single" w:color="DDDDD8" w:sz="1"/>
            </w:tcBorders>
            <w:shd w:fill="F5F5F0" w:val="clear"/>
            <w:tcMar>
              <w:top w:type="dxa" w:w="80"/>
              <w:left w:type="dxa" w:w="140"/>
              <w:bottom w:type="dxa" w:w="80"/>
              <w:right w:type="dxa" w:w="140"/>
            </w:tcMar>
          </w:tcPr>
          <w:p>
            <w:r>
              <w:rPr>
                <w:rFonts w:ascii="Arial" w:cs="Arial" w:eastAsia="Arial" w:hAnsi="Arial"/>
                <w:b w:val="false"/>
                <w:bCs w:val="false"/>
                <w:color w:val="1C1C18"/>
                <w:sz w:val="21"/>
                <w:szCs w:val="21"/>
              </w:rPr>
              <w:t xml:space="preserve">Operations, compliance, and reporting</w:t>
            </w:r>
          </w:p>
        </w:tc>
        <w:tc>
          <w:tcPr>
            <w:tcW w:type="dxa" w:w="2340"/>
            <w:tcBorders>
              <w:top w:val="single" w:color="DDDDD8" w:sz="1"/>
              <w:left w:val="single" w:color="DDDDD8" w:sz="1"/>
              <w:bottom w:val="single" w:color="DDDDD8" w:sz="1"/>
              <w:right w:val="single" w:color="DDDDD8" w:sz="1"/>
            </w:tcBorders>
            <w:shd w:fill="F5F5F0" w:val="clear"/>
            <w:tcMar>
              <w:top w:type="dxa" w:w="80"/>
              <w:left w:type="dxa" w:w="140"/>
              <w:bottom w:type="dxa" w:w="80"/>
              <w:right w:type="dxa" w:w="140"/>
            </w:tcMar>
          </w:tcPr>
          <w:p>
            <w:r>
              <w:rPr>
                <w:rFonts w:ascii="Arial" w:cs="Arial" w:eastAsia="Arial" w:hAnsi="Arial"/>
                <w:b w:val="false"/>
                <w:bCs w:val="false"/>
                <w:color w:val="0C2048"/>
                <w:sz w:val="21"/>
                <w:szCs w:val="21"/>
              </w:rPr>
              <w:t xml:space="preserve">UGX 200M</w:t>
            </w:r>
          </w:p>
        </w:tc>
        <w:tc>
          <w:tcPr>
            <w:tcW w:type="dxa" w:w="2340"/>
            <w:tcBorders>
              <w:top w:val="single" w:color="DDDDD8" w:sz="1"/>
              <w:left w:val="single" w:color="DDDDD8" w:sz="1"/>
              <w:bottom w:val="single" w:color="DDDDD8" w:sz="1"/>
              <w:right w:val="single" w:color="DDDDD8" w:sz="1"/>
            </w:tcBorders>
            <w:shd w:fill="F5F5F0" w:val="clear"/>
            <w:tcMar>
              <w:top w:type="dxa" w:w="80"/>
              <w:left w:type="dxa" w:w="140"/>
              <w:bottom w:type="dxa" w:w="80"/>
              <w:right w:type="dxa" w:w="140"/>
            </w:tcMar>
          </w:tcPr>
          <w:p>
            <w:r>
              <w:rPr>
                <w:rFonts w:ascii="Arial" w:cs="Arial" w:eastAsia="Arial" w:hAnsi="Arial"/>
                <w:b w:val="false"/>
                <w:bCs w:val="false"/>
                <w:color w:val="1C1C18"/>
                <w:sz w:val="21"/>
                <w:szCs w:val="21"/>
              </w:rPr>
              <w:t xml:space="preserve">—</w:t>
            </w:r>
          </w:p>
        </w:tc>
      </w:tr>
      <w:tr>
        <w:tc>
          <w:tcPr>
            <w:tcW w:type="dxa" w:w="4680"/>
            <w:tcBorders>
              <w:top w:val="single" w:color="DDDDD8" w:sz="1"/>
              <w:left w:val="single" w:color="DDDDD8" w:sz="1"/>
              <w:bottom w:val="single" w:color="DDDDD8" w:sz="1"/>
              <w:right w:val="single" w:color="DDDDD8" w:sz="1"/>
            </w:tcBorders>
            <w:shd w:fill="E8F5EE" w:val="clear"/>
            <w:tcMar>
              <w:top w:type="dxa" w:w="80"/>
              <w:left w:type="dxa" w:w="140"/>
              <w:bottom w:type="dxa" w:w="80"/>
              <w:right w:type="dxa" w:w="140"/>
            </w:tcMar>
          </w:tcPr>
          <w:p>
            <w:r>
              <w:rPr>
                <w:rFonts w:ascii="Arial" w:cs="Arial" w:eastAsia="Arial" w:hAnsi="Arial"/>
                <w:b/>
                <w:bCs/>
                <w:color w:val="1A6E44"/>
                <w:sz w:val="21"/>
                <w:szCs w:val="21"/>
              </w:rPr>
              <w:t xml:space="preserve">Total</w:t>
            </w:r>
          </w:p>
        </w:tc>
        <w:tc>
          <w:tcPr>
            <w:tcW w:type="dxa" w:w="2340"/>
            <w:tcBorders>
              <w:top w:val="single" w:color="DDDDD8" w:sz="1"/>
              <w:left w:val="single" w:color="DDDDD8" w:sz="1"/>
              <w:bottom w:val="single" w:color="DDDDD8" w:sz="1"/>
              <w:right w:val="single" w:color="DDDDD8" w:sz="1"/>
            </w:tcBorders>
            <w:shd w:fill="E8F5EE" w:val="clear"/>
            <w:tcMar>
              <w:top w:type="dxa" w:w="80"/>
              <w:left w:type="dxa" w:w="140"/>
              <w:bottom w:type="dxa" w:w="80"/>
              <w:right w:type="dxa" w:w="140"/>
            </w:tcMar>
          </w:tcPr>
          <w:p>
            <w:r>
              <w:rPr>
                <w:rFonts w:ascii="Arial" w:cs="Arial" w:eastAsia="Arial" w:hAnsi="Arial"/>
                <w:b/>
                <w:bCs/>
                <w:color w:val="0C2048"/>
                <w:sz w:val="21"/>
                <w:szCs w:val="21"/>
              </w:rPr>
              <w:t xml:space="preserve">UGX 2.0B (approx. USD 540K)</w:t>
            </w:r>
          </w:p>
        </w:tc>
        <w:tc>
          <w:tcPr>
            <w:tcW w:type="dxa" w:w="2340"/>
            <w:tcBorders>
              <w:top w:val="single" w:color="DDDDD8" w:sz="1"/>
              <w:left w:val="single" w:color="DDDDD8" w:sz="1"/>
              <w:bottom w:val="single" w:color="DDDDD8" w:sz="1"/>
              <w:right w:val="single" w:color="DDDDD8" w:sz="1"/>
            </w:tcBorders>
            <w:shd w:fill="E8F5EE" w:val="clear"/>
            <w:tcMar>
              <w:top w:type="dxa" w:w="80"/>
              <w:left w:type="dxa" w:w="140"/>
              <w:bottom w:type="dxa" w:w="80"/>
              <w:right w:type="dxa" w:w="140"/>
            </w:tcMar>
          </w:tcPr>
          <w:p>
            <w:r>
              <w:rPr>
                <w:rFonts w:ascii="Arial" w:cs="Arial" w:eastAsia="Arial" w:hAnsi="Arial"/>
                <w:b/>
                <w:bCs/>
                <w:color w:val="1A6E44"/>
                <w:sz w:val="21"/>
                <w:szCs w:val="21"/>
              </w:rPr>
              <w:t xml:space="preserve">UGX 185B+ / year</w:t>
            </w:r>
          </w:p>
        </w:tc>
      </w:tr>
    </w:tbl>
    <w:p>
      <w:pPr>
        <w:spacing w:after="320" w:before="0"/>
      </w:pPr>
      <w:r>
        <w:t xml:space="preserve"/>
      </w:r>
    </w:p>
    <w:p>
      <w:pPr>
        <w:pBdr>
          <w:bottom w:val="single" w:color="0C2048" w:sz="8" w:space="6"/>
        </w:pBdr>
        <w:spacing w:after="160" w:before="400"/>
      </w:pPr>
      <w:r>
        <w:rPr>
          <w:rFonts w:ascii="Arial" w:cs="Arial" w:eastAsia="Arial" w:hAnsi="Arial"/>
          <w:b/>
          <w:bCs/>
          <w:color w:val="0C2048"/>
          <w:sz w:val="28"/>
          <w:szCs w:val="28"/>
        </w:rPr>
        <w:t xml:space="preserve">5. Expected Outcomes and Measurable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0A7870" w:sz="1"/>
              <w:left w:val="single" w:color="0A7870" w:sz="1"/>
              <w:bottom w:val="single" w:color="0A7870" w:sz="1"/>
              <w:right w:val="single" w:color="0A7870" w:sz="1"/>
            </w:tcBorders>
            <w:shd w:fill="0A7870" w:val="clear"/>
            <w:tcMar>
              <w:top w:type="dxa" w:w="80"/>
              <w:left w:type="dxa" w:w="140"/>
              <w:bottom w:type="dxa" w:w="80"/>
              <w:right w:type="dxa" w:w="140"/>
            </w:tcMar>
          </w:tcPr>
          <w:p>
            <w:r>
              <w:rPr>
                <w:rFonts w:ascii="Arial" w:cs="Arial" w:eastAsia="Arial" w:hAnsi="Arial"/>
                <w:b/>
                <w:bCs/>
                <w:color w:val="FFFFFF"/>
                <w:sz w:val="20"/>
                <w:szCs w:val="20"/>
              </w:rPr>
              <w:t xml:space="preserve">KPI / Target</w:t>
            </w:r>
          </w:p>
        </w:tc>
        <w:tc>
          <w:tcPr>
            <w:tcW w:type="dxa" w:w="2340"/>
            <w:tcBorders>
              <w:top w:val="single" w:color="0A7870" w:sz="1"/>
              <w:left w:val="single" w:color="0A7870" w:sz="1"/>
              <w:bottom w:val="single" w:color="0A7870" w:sz="1"/>
              <w:right w:val="single" w:color="0A7870" w:sz="1"/>
            </w:tcBorders>
            <w:shd w:fill="0A7870" w:val="clear"/>
            <w:tcMar>
              <w:top w:type="dxa" w:w="80"/>
              <w:left w:type="dxa" w:w="140"/>
              <w:bottom w:type="dxa" w:w="80"/>
              <w:right w:type="dxa" w:w="140"/>
            </w:tcMar>
          </w:tcPr>
          <w:p>
            <w:r>
              <w:rPr>
                <w:rFonts w:ascii="Arial" w:cs="Arial" w:eastAsia="Arial" w:hAnsi="Arial"/>
                <w:b/>
                <w:bCs/>
                <w:color w:val="FFFFFF"/>
                <w:sz w:val="20"/>
                <w:szCs w:val="20"/>
              </w:rPr>
              <w:t xml:space="preserve">Month 12</w:t>
            </w:r>
          </w:p>
        </w:tc>
        <w:tc>
          <w:tcPr>
            <w:tcW w:type="dxa" w:w="2340"/>
            <w:tcBorders>
              <w:top w:val="single" w:color="0A7870" w:sz="1"/>
              <w:left w:val="single" w:color="0A7870" w:sz="1"/>
              <w:bottom w:val="single" w:color="0A7870" w:sz="1"/>
              <w:right w:val="single" w:color="0A7870" w:sz="1"/>
            </w:tcBorders>
            <w:shd w:fill="0A7870" w:val="clear"/>
            <w:tcMar>
              <w:top w:type="dxa" w:w="80"/>
              <w:left w:type="dxa" w:w="140"/>
              <w:bottom w:type="dxa" w:w="80"/>
              <w:right w:type="dxa" w:w="140"/>
            </w:tcMar>
          </w:tcPr>
          <w:p>
            <w:r>
              <w:rPr>
                <w:rFonts w:ascii="Arial" w:cs="Arial" w:eastAsia="Arial" w:hAnsi="Arial"/>
                <w:b/>
                <w:bCs/>
                <w:color w:val="FFFFFF"/>
                <w:sz w:val="20"/>
                <w:szCs w:val="20"/>
              </w:rPr>
              <w:t xml:space="preserve">Month 24</w:t>
            </w:r>
          </w:p>
        </w:tc>
      </w:tr>
      <w:tr>
        <w:tc>
          <w:tcPr>
            <w:tcW w:type="dxa" w:w="4680"/>
            <w:tcBorders>
              <w:top w:val="single" w:color="DDDDD8" w:sz="1"/>
              <w:left w:val="single" w:color="DDDDD8" w:sz="1"/>
              <w:bottom w:val="single" w:color="DDDDD8" w:sz="1"/>
              <w:right w:val="single" w:color="DDDDD8" w:sz="1"/>
            </w:tcBorders>
            <w:shd w:fill="FFFFFF" w:val="clear"/>
            <w:tcMar>
              <w:top w:type="dxa" w:w="80"/>
              <w:left w:type="dxa" w:w="140"/>
              <w:bottom w:type="dxa" w:w="80"/>
              <w:right w:type="dxa" w:w="140"/>
            </w:tcMar>
          </w:tcPr>
          <w:p>
            <w:r>
              <w:rPr>
                <w:rFonts w:ascii="Arial" w:cs="Arial" w:eastAsia="Arial" w:hAnsi="Arial"/>
                <w:color w:val="1C1C18"/>
                <w:sz w:val="21"/>
                <w:szCs w:val="21"/>
              </w:rPr>
              <w:t xml:space="preserve">EFRIS Bridge — informal businesses enrolled</w:t>
            </w:r>
          </w:p>
        </w:tc>
        <w:tc>
          <w:tcPr>
            <w:tcW w:type="dxa" w:w="2340"/>
            <w:tcBorders>
              <w:top w:val="single" w:color="DDDDD8" w:sz="1"/>
              <w:left w:val="single" w:color="DDDDD8" w:sz="1"/>
              <w:bottom w:val="single" w:color="DDDDD8" w:sz="1"/>
              <w:right w:val="single" w:color="DDDDD8" w:sz="1"/>
            </w:tcBorders>
            <w:shd w:fill="FFFFFF" w:val="clear"/>
            <w:tcMar>
              <w:top w:type="dxa" w:w="80"/>
              <w:left w:type="dxa" w:w="140"/>
              <w:bottom w:type="dxa" w:w="80"/>
              <w:right w:type="dxa" w:w="140"/>
            </w:tcMar>
          </w:tcPr>
          <w:p>
            <w:r>
              <w:rPr>
                <w:rFonts w:ascii="Arial" w:cs="Arial" w:eastAsia="Arial" w:hAnsi="Arial"/>
                <w:b/>
                <w:bCs/>
                <w:color w:val="0A7870"/>
                <w:sz w:val="21"/>
                <w:szCs w:val="21"/>
              </w:rPr>
              <w:t xml:space="preserve">100,000</w:t>
            </w:r>
          </w:p>
        </w:tc>
        <w:tc>
          <w:tcPr>
            <w:tcW w:type="dxa" w:w="2340"/>
            <w:tcBorders>
              <w:top w:val="single" w:color="DDDDD8" w:sz="1"/>
              <w:left w:val="single" w:color="DDDDD8" w:sz="1"/>
              <w:bottom w:val="single" w:color="DDDDD8" w:sz="1"/>
              <w:right w:val="single" w:color="DDDDD8" w:sz="1"/>
            </w:tcBorders>
            <w:shd w:fill="FFFFFF" w:val="clear"/>
            <w:tcMar>
              <w:top w:type="dxa" w:w="80"/>
              <w:left w:type="dxa" w:w="140"/>
              <w:bottom w:type="dxa" w:w="80"/>
              <w:right w:type="dxa" w:w="140"/>
            </w:tcMar>
          </w:tcPr>
          <w:p>
            <w:r>
              <w:rPr>
                <w:rFonts w:ascii="Arial" w:cs="Arial" w:eastAsia="Arial" w:hAnsi="Arial"/>
                <w:b/>
                <w:bCs/>
                <w:color w:val="1A6E44"/>
                <w:sz w:val="21"/>
                <w:szCs w:val="21"/>
              </w:rPr>
              <w:t xml:space="preserve">250,000</w:t>
            </w:r>
          </w:p>
        </w:tc>
      </w:tr>
      <w:tr>
        <w:tc>
          <w:tcPr>
            <w:tcW w:type="dxa" w:w="4680"/>
            <w:tcBorders>
              <w:top w:val="single" w:color="DDDDD8" w:sz="1"/>
              <w:left w:val="single" w:color="DDDDD8" w:sz="1"/>
              <w:bottom w:val="single" w:color="DDDDD8" w:sz="1"/>
              <w:right w:val="single" w:color="DDDDD8" w:sz="1"/>
            </w:tcBorders>
            <w:shd w:fill="F5F5F0" w:val="clear"/>
            <w:tcMar>
              <w:top w:type="dxa" w:w="80"/>
              <w:left w:type="dxa" w:w="140"/>
              <w:bottom w:type="dxa" w:w="80"/>
              <w:right w:type="dxa" w:w="140"/>
            </w:tcMar>
          </w:tcPr>
          <w:p>
            <w:r>
              <w:rPr>
                <w:rFonts w:ascii="Arial" w:cs="Arial" w:eastAsia="Arial" w:hAnsi="Arial"/>
                <w:color w:val="1C1C18"/>
                <w:sz w:val="21"/>
                <w:szCs w:val="21"/>
              </w:rPr>
              <w:t xml:space="preserve">New monthly tax revenue (Bridge)</w:t>
            </w:r>
          </w:p>
        </w:tc>
        <w:tc>
          <w:tcPr>
            <w:tcW w:type="dxa" w:w="2340"/>
            <w:tcBorders>
              <w:top w:val="single" w:color="DDDDD8" w:sz="1"/>
              <w:left w:val="single" w:color="DDDDD8" w:sz="1"/>
              <w:bottom w:val="single" w:color="DDDDD8" w:sz="1"/>
              <w:right w:val="single" w:color="DDDDD8" w:sz="1"/>
            </w:tcBorders>
            <w:shd w:fill="F5F5F0" w:val="clear"/>
            <w:tcMar>
              <w:top w:type="dxa" w:w="80"/>
              <w:left w:type="dxa" w:w="140"/>
              <w:bottom w:type="dxa" w:w="80"/>
              <w:right w:type="dxa" w:w="140"/>
            </w:tcMar>
          </w:tcPr>
          <w:p>
            <w:r>
              <w:rPr>
                <w:rFonts w:ascii="Arial" w:cs="Arial" w:eastAsia="Arial" w:hAnsi="Arial"/>
                <w:b/>
                <w:bCs/>
                <w:color w:val="0A7870"/>
                <w:sz w:val="21"/>
                <w:szCs w:val="21"/>
              </w:rPr>
              <w:t xml:space="preserve">UGX 25B</w:t>
            </w:r>
          </w:p>
        </w:tc>
        <w:tc>
          <w:tcPr>
            <w:tcW w:type="dxa" w:w="2340"/>
            <w:tcBorders>
              <w:top w:val="single" w:color="DDDDD8" w:sz="1"/>
              <w:left w:val="single" w:color="DDDDD8" w:sz="1"/>
              <w:bottom w:val="single" w:color="DDDDD8" w:sz="1"/>
              <w:right w:val="single" w:color="DDDDD8" w:sz="1"/>
            </w:tcBorders>
            <w:shd w:fill="F5F5F0" w:val="clear"/>
            <w:tcMar>
              <w:top w:type="dxa" w:w="80"/>
              <w:left w:type="dxa" w:w="140"/>
              <w:bottom w:type="dxa" w:w="80"/>
              <w:right w:type="dxa" w:w="140"/>
            </w:tcMar>
          </w:tcPr>
          <w:p>
            <w:r>
              <w:rPr>
                <w:rFonts w:ascii="Arial" w:cs="Arial" w:eastAsia="Arial" w:hAnsi="Arial"/>
                <w:b/>
                <w:bCs/>
                <w:color w:val="1A6E44"/>
                <w:sz w:val="21"/>
                <w:szCs w:val="21"/>
              </w:rPr>
              <w:t xml:space="preserve">UGX 65B</w:t>
            </w:r>
          </w:p>
        </w:tc>
      </w:tr>
      <w:tr>
        <w:tc>
          <w:tcPr>
            <w:tcW w:type="dxa" w:w="4680"/>
            <w:tcBorders>
              <w:top w:val="single" w:color="DDDDD8" w:sz="1"/>
              <w:left w:val="single" w:color="DDDDD8" w:sz="1"/>
              <w:bottom w:val="single" w:color="DDDDD8" w:sz="1"/>
              <w:right w:val="single" w:color="DDDDD8" w:sz="1"/>
            </w:tcBorders>
            <w:shd w:fill="FFFFFF" w:val="clear"/>
            <w:tcMar>
              <w:top w:type="dxa" w:w="80"/>
              <w:left w:type="dxa" w:w="140"/>
              <w:bottom w:type="dxa" w:w="80"/>
              <w:right w:type="dxa" w:w="140"/>
            </w:tcMar>
          </w:tcPr>
          <w:p>
            <w:r>
              <w:rPr>
                <w:rFonts w:ascii="Arial" w:cs="Arial" w:eastAsia="Arial" w:hAnsi="Arial"/>
                <w:color w:val="1C1C18"/>
                <w:sz w:val="21"/>
                <w:szCs w:val="21"/>
              </w:rPr>
              <w:t xml:space="preserve">EFRIS compliance rate (national)</w:t>
            </w:r>
          </w:p>
        </w:tc>
        <w:tc>
          <w:tcPr>
            <w:tcW w:type="dxa" w:w="2340"/>
            <w:tcBorders>
              <w:top w:val="single" w:color="DDDDD8" w:sz="1"/>
              <w:left w:val="single" w:color="DDDDD8" w:sz="1"/>
              <w:bottom w:val="single" w:color="DDDDD8" w:sz="1"/>
              <w:right w:val="single" w:color="DDDDD8" w:sz="1"/>
            </w:tcBorders>
            <w:shd w:fill="FFFFFF" w:val="clear"/>
            <w:tcMar>
              <w:top w:type="dxa" w:w="80"/>
              <w:left w:type="dxa" w:w="140"/>
              <w:bottom w:type="dxa" w:w="80"/>
              <w:right w:type="dxa" w:w="140"/>
            </w:tcMar>
          </w:tcPr>
          <w:p>
            <w:r>
              <w:rPr>
                <w:rFonts w:ascii="Arial" w:cs="Arial" w:eastAsia="Arial" w:hAnsi="Arial"/>
                <w:b/>
                <w:bCs/>
                <w:color w:val="0A7870"/>
                <w:sz w:val="21"/>
                <w:szCs w:val="21"/>
              </w:rPr>
              <w:t xml:space="preserve">58%</w:t>
            </w:r>
          </w:p>
        </w:tc>
        <w:tc>
          <w:tcPr>
            <w:tcW w:type="dxa" w:w="2340"/>
            <w:tcBorders>
              <w:top w:val="single" w:color="DDDDD8" w:sz="1"/>
              <w:left w:val="single" w:color="DDDDD8" w:sz="1"/>
              <w:bottom w:val="single" w:color="DDDDD8" w:sz="1"/>
              <w:right w:val="single" w:color="DDDDD8" w:sz="1"/>
            </w:tcBorders>
            <w:shd w:fill="FFFFFF" w:val="clear"/>
            <w:tcMar>
              <w:top w:type="dxa" w:w="80"/>
              <w:left w:type="dxa" w:w="140"/>
              <w:bottom w:type="dxa" w:w="80"/>
              <w:right w:type="dxa" w:w="140"/>
            </w:tcMar>
          </w:tcPr>
          <w:p>
            <w:r>
              <w:rPr>
                <w:rFonts w:ascii="Arial" w:cs="Arial" w:eastAsia="Arial" w:hAnsi="Arial"/>
                <w:b/>
                <w:bCs/>
                <w:color w:val="1A6E44"/>
                <w:sz w:val="21"/>
                <w:szCs w:val="21"/>
              </w:rPr>
              <w:t xml:space="preserve">70%</w:t>
            </w:r>
          </w:p>
        </w:tc>
      </w:tr>
      <w:tr>
        <w:tc>
          <w:tcPr>
            <w:tcW w:type="dxa" w:w="4680"/>
            <w:tcBorders>
              <w:top w:val="single" w:color="DDDDD8" w:sz="1"/>
              <w:left w:val="single" w:color="DDDDD8" w:sz="1"/>
              <w:bottom w:val="single" w:color="DDDDD8" w:sz="1"/>
              <w:right w:val="single" w:color="DDDDD8" w:sz="1"/>
            </w:tcBorders>
            <w:shd w:fill="F5F5F0" w:val="clear"/>
            <w:tcMar>
              <w:top w:type="dxa" w:w="80"/>
              <w:left w:type="dxa" w:w="140"/>
              <w:bottom w:type="dxa" w:w="80"/>
              <w:right w:type="dxa" w:w="140"/>
            </w:tcMar>
          </w:tcPr>
          <w:p>
            <w:r>
              <w:rPr>
                <w:rFonts w:ascii="Arial" w:cs="Arial" w:eastAsia="Arial" w:hAnsi="Arial"/>
                <w:color w:val="1C1C18"/>
                <w:sz w:val="21"/>
                <w:szCs w:val="21"/>
              </w:rPr>
              <w:t xml:space="preserve">Anomaly audit recovery per quarter</w:t>
            </w:r>
          </w:p>
        </w:tc>
        <w:tc>
          <w:tcPr>
            <w:tcW w:type="dxa" w:w="2340"/>
            <w:tcBorders>
              <w:top w:val="single" w:color="DDDDD8" w:sz="1"/>
              <w:left w:val="single" w:color="DDDDD8" w:sz="1"/>
              <w:bottom w:val="single" w:color="DDDDD8" w:sz="1"/>
              <w:right w:val="single" w:color="DDDDD8" w:sz="1"/>
            </w:tcBorders>
            <w:shd w:fill="F5F5F0" w:val="clear"/>
            <w:tcMar>
              <w:top w:type="dxa" w:w="80"/>
              <w:left w:type="dxa" w:w="140"/>
              <w:bottom w:type="dxa" w:w="80"/>
              <w:right w:type="dxa" w:w="140"/>
            </w:tcMar>
          </w:tcPr>
          <w:p>
            <w:r>
              <w:rPr>
                <w:rFonts w:ascii="Arial" w:cs="Arial" w:eastAsia="Arial" w:hAnsi="Arial"/>
                <w:b/>
                <w:bCs/>
                <w:color w:val="0A7870"/>
                <w:sz w:val="21"/>
                <w:szCs w:val="21"/>
              </w:rPr>
              <w:t xml:space="preserve">UGX 50B</w:t>
            </w:r>
          </w:p>
        </w:tc>
        <w:tc>
          <w:tcPr>
            <w:tcW w:type="dxa" w:w="2340"/>
            <w:tcBorders>
              <w:top w:val="single" w:color="DDDDD8" w:sz="1"/>
              <w:left w:val="single" w:color="DDDDD8" w:sz="1"/>
              <w:bottom w:val="single" w:color="DDDDD8" w:sz="1"/>
              <w:right w:val="single" w:color="DDDDD8" w:sz="1"/>
            </w:tcBorders>
            <w:shd w:fill="F5F5F0" w:val="clear"/>
            <w:tcMar>
              <w:top w:type="dxa" w:w="80"/>
              <w:left w:type="dxa" w:w="140"/>
              <w:bottom w:type="dxa" w:w="80"/>
              <w:right w:type="dxa" w:w="140"/>
            </w:tcMar>
          </w:tcPr>
          <w:p>
            <w:r>
              <w:rPr>
                <w:rFonts w:ascii="Arial" w:cs="Arial" w:eastAsia="Arial" w:hAnsi="Arial"/>
                <w:b/>
                <w:bCs/>
                <w:color w:val="1A6E44"/>
                <w:sz w:val="21"/>
                <w:szCs w:val="21"/>
              </w:rPr>
              <w:t xml:space="preserve">UGX 120B</w:t>
            </w:r>
          </w:p>
        </w:tc>
      </w:tr>
      <w:tr>
        <w:tc>
          <w:tcPr>
            <w:tcW w:type="dxa" w:w="4680"/>
            <w:tcBorders>
              <w:top w:val="single" w:color="DDDDD8" w:sz="1"/>
              <w:left w:val="single" w:color="DDDDD8" w:sz="1"/>
              <w:bottom w:val="single" w:color="DDDDD8" w:sz="1"/>
              <w:right w:val="single" w:color="DDDDD8" w:sz="1"/>
            </w:tcBorders>
            <w:shd w:fill="FFFFFF" w:val="clear"/>
            <w:tcMar>
              <w:top w:type="dxa" w:w="80"/>
              <w:left w:type="dxa" w:w="140"/>
              <w:bottom w:type="dxa" w:w="80"/>
              <w:right w:type="dxa" w:w="140"/>
            </w:tcMar>
          </w:tcPr>
          <w:p>
            <w:r>
              <w:rPr>
                <w:rFonts w:ascii="Arial" w:cs="Arial" w:eastAsia="Arial" w:hAnsi="Arial"/>
                <w:color w:val="1C1C18"/>
                <w:sz w:val="21"/>
                <w:szCs w:val="21"/>
              </w:rPr>
              <w:t xml:space="preserve">Additional customs duty recovered/month</w:t>
            </w:r>
          </w:p>
        </w:tc>
        <w:tc>
          <w:tcPr>
            <w:tcW w:type="dxa" w:w="2340"/>
            <w:tcBorders>
              <w:top w:val="single" w:color="DDDDD8" w:sz="1"/>
              <w:left w:val="single" w:color="DDDDD8" w:sz="1"/>
              <w:bottom w:val="single" w:color="DDDDD8" w:sz="1"/>
              <w:right w:val="single" w:color="DDDDD8" w:sz="1"/>
            </w:tcBorders>
            <w:shd w:fill="FFFFFF" w:val="clear"/>
            <w:tcMar>
              <w:top w:type="dxa" w:w="80"/>
              <w:left w:type="dxa" w:w="140"/>
              <w:bottom w:type="dxa" w:w="80"/>
              <w:right w:type="dxa" w:w="140"/>
            </w:tcMar>
          </w:tcPr>
          <w:p>
            <w:r>
              <w:rPr>
                <w:rFonts w:ascii="Arial" w:cs="Arial" w:eastAsia="Arial" w:hAnsi="Arial"/>
                <w:b/>
                <w:bCs/>
                <w:color w:val="0A7870"/>
                <w:sz w:val="21"/>
                <w:szCs w:val="21"/>
              </w:rPr>
              <w:t xml:space="preserve">UGX 12B</w:t>
            </w:r>
          </w:p>
        </w:tc>
        <w:tc>
          <w:tcPr>
            <w:tcW w:type="dxa" w:w="2340"/>
            <w:tcBorders>
              <w:top w:val="single" w:color="DDDDD8" w:sz="1"/>
              <w:left w:val="single" w:color="DDDDD8" w:sz="1"/>
              <w:bottom w:val="single" w:color="DDDDD8" w:sz="1"/>
              <w:right w:val="single" w:color="DDDDD8" w:sz="1"/>
            </w:tcBorders>
            <w:shd w:fill="FFFFFF" w:val="clear"/>
            <w:tcMar>
              <w:top w:type="dxa" w:w="80"/>
              <w:left w:type="dxa" w:w="140"/>
              <w:bottom w:type="dxa" w:w="80"/>
              <w:right w:type="dxa" w:w="140"/>
            </w:tcMar>
          </w:tcPr>
          <w:p>
            <w:r>
              <w:rPr>
                <w:rFonts w:ascii="Arial" w:cs="Arial" w:eastAsia="Arial" w:hAnsi="Arial"/>
                <w:b/>
                <w:bCs/>
                <w:color w:val="1A6E44"/>
                <w:sz w:val="21"/>
                <w:szCs w:val="21"/>
              </w:rPr>
              <w:t xml:space="preserve">UGX 30B</w:t>
            </w:r>
          </w:p>
        </w:tc>
      </w:tr>
      <w:tr>
        <w:tc>
          <w:tcPr>
            <w:tcW w:type="dxa" w:w="4680"/>
            <w:tcBorders>
              <w:top w:val="single" w:color="DDDDD8" w:sz="1"/>
              <w:left w:val="single" w:color="DDDDD8" w:sz="1"/>
              <w:bottom w:val="single" w:color="DDDDD8" w:sz="1"/>
              <w:right w:val="single" w:color="DDDDD8" w:sz="1"/>
            </w:tcBorders>
            <w:shd w:fill="F5F5F0" w:val="clear"/>
            <w:tcMar>
              <w:top w:type="dxa" w:w="80"/>
              <w:left w:type="dxa" w:w="140"/>
              <w:bottom w:type="dxa" w:w="80"/>
              <w:right w:type="dxa" w:w="140"/>
            </w:tcMar>
          </w:tcPr>
          <w:p>
            <w:r>
              <w:rPr>
                <w:rFonts w:ascii="Arial" w:cs="Arial" w:eastAsia="Arial" w:hAnsi="Arial"/>
                <w:color w:val="1C1C18"/>
                <w:sz w:val="21"/>
                <w:szCs w:val="21"/>
              </w:rPr>
              <w:t xml:space="preserve">Debt-to-GDP ratio impact</w:t>
            </w:r>
          </w:p>
        </w:tc>
        <w:tc>
          <w:tcPr>
            <w:tcW w:type="dxa" w:w="2340"/>
            <w:tcBorders>
              <w:top w:val="single" w:color="DDDDD8" w:sz="1"/>
              <w:left w:val="single" w:color="DDDDD8" w:sz="1"/>
              <w:bottom w:val="single" w:color="DDDDD8" w:sz="1"/>
              <w:right w:val="single" w:color="DDDDD8" w:sz="1"/>
            </w:tcBorders>
            <w:shd w:fill="F5F5F0" w:val="clear"/>
            <w:tcMar>
              <w:top w:type="dxa" w:w="80"/>
              <w:left w:type="dxa" w:w="140"/>
              <w:bottom w:type="dxa" w:w="80"/>
              <w:right w:type="dxa" w:w="140"/>
            </w:tcMar>
          </w:tcPr>
          <w:p>
            <w:r>
              <w:rPr>
                <w:rFonts w:ascii="Arial" w:cs="Arial" w:eastAsia="Arial" w:hAnsi="Arial"/>
                <w:b/>
                <w:bCs/>
                <w:color w:val="0A7870"/>
                <w:sz w:val="21"/>
                <w:szCs w:val="21"/>
              </w:rPr>
              <w:t xml:space="preserve">-0.8pp</w:t>
            </w:r>
          </w:p>
        </w:tc>
        <w:tc>
          <w:tcPr>
            <w:tcW w:type="dxa" w:w="2340"/>
            <w:tcBorders>
              <w:top w:val="single" w:color="DDDDD8" w:sz="1"/>
              <w:left w:val="single" w:color="DDDDD8" w:sz="1"/>
              <w:bottom w:val="single" w:color="DDDDD8" w:sz="1"/>
              <w:right w:val="single" w:color="DDDDD8" w:sz="1"/>
            </w:tcBorders>
            <w:shd w:fill="F5F5F0" w:val="clear"/>
            <w:tcMar>
              <w:top w:type="dxa" w:w="80"/>
              <w:left w:type="dxa" w:w="140"/>
              <w:bottom w:type="dxa" w:w="80"/>
              <w:right w:type="dxa" w:w="140"/>
            </w:tcMar>
          </w:tcPr>
          <w:p>
            <w:r>
              <w:rPr>
                <w:rFonts w:ascii="Arial" w:cs="Arial" w:eastAsia="Arial" w:hAnsi="Arial"/>
                <w:b/>
                <w:bCs/>
                <w:color w:val="1A6E44"/>
                <w:sz w:val="21"/>
                <w:szCs w:val="21"/>
              </w:rPr>
              <w:t xml:space="preserve">-2.4pp</w:t>
            </w:r>
          </w:p>
        </w:tc>
      </w:tr>
    </w:tbl>
    <w:p>
      <w:pPr>
        <w:spacing w:after="320" w:before="0"/>
      </w:pPr>
      <w:r>
        <w:t xml:space="preserve"/>
      </w:r>
    </w:p>
    <w:p>
      <w:pPr>
        <w:pBdr>
          <w:bottom w:val="single" w:color="0C2048" w:sz="8" w:space="6"/>
        </w:pBdr>
        <w:spacing w:after="160" w:before="400"/>
      </w:pPr>
      <w:r>
        <w:rPr>
          <w:rFonts w:ascii="Arial" w:cs="Arial" w:eastAsia="Arial" w:hAnsi="Arial"/>
          <w:b/>
          <w:bCs/>
          <w:color w:val="0C2048"/>
          <w:sz w:val="28"/>
          <w:szCs w:val="28"/>
        </w:rPr>
        <w:t xml:space="preserve">6. Why Uganda Fiscal Intelligence Platform</w:t>
      </w:r>
    </w:p>
    <w:p>
      <w:pPr>
        <w:pStyle w:val="ListParagraph"/>
        <w:numPr>
          <w:ilvl w:val="0"/>
          <w:numId w:val="2"/>
        </w:numPr>
        <w:spacing w:after="80" w:before="40"/>
      </w:pPr>
      <w:r>
        <w:rPr>
          <w:rFonts w:ascii="Arial" w:cs="Arial" w:eastAsia="Arial" w:hAnsi="Arial"/>
          <w:b w:val="false"/>
          <w:bCs w:val="false"/>
          <w:color w:val="1C1C18"/>
          <w:sz w:val="22"/>
          <w:szCs w:val="22"/>
        </w:rPr>
        <w:t xml:space="preserve">All three products are fully built and demo-ready — not proposals or prototypes</w:t>
      </w:r>
    </w:p>
    <w:p>
      <w:pPr>
        <w:pStyle w:val="ListParagraph"/>
        <w:numPr>
          <w:ilvl w:val="0"/>
          <w:numId w:val="2"/>
        </w:numPr>
        <w:spacing w:after="80" w:before="40"/>
      </w:pPr>
      <w:r>
        <w:rPr>
          <w:rFonts w:ascii="Arial" w:cs="Arial" w:eastAsia="Arial" w:hAnsi="Arial"/>
          <w:b w:val="false"/>
          <w:bCs w:val="false"/>
          <w:color w:val="1C1C18"/>
          <w:sz w:val="22"/>
          <w:szCs w:val="22"/>
        </w:rPr>
        <w:t xml:space="preserve">Live pilot data: 14,820 EFRIS Bridge businesses, UGX 3.8B new monthly tax, 94.2% AI anomaly accuracy</w:t>
      </w:r>
    </w:p>
    <w:p>
      <w:pPr>
        <w:pStyle w:val="ListParagraph"/>
        <w:numPr>
          <w:ilvl w:val="0"/>
          <w:numId w:val="2"/>
        </w:numPr>
        <w:spacing w:after="80" w:before="40"/>
      </w:pPr>
      <w:r>
        <w:rPr>
          <w:rFonts w:ascii="Arial" w:cs="Arial" w:eastAsia="Arial" w:hAnsi="Arial"/>
          <w:b w:val="false"/>
          <w:bCs w:val="false"/>
          <w:color w:val="1C1C18"/>
          <w:sz w:val="22"/>
          <w:szCs w:val="22"/>
        </w:rPr>
        <w:t xml:space="preserve">Built specifically for Uganda's context — MTN/Airtel MoMo, USSD infrastructure, EFRIS API, URA tax bands</w:t>
      </w:r>
    </w:p>
    <w:p>
      <w:pPr>
        <w:pStyle w:val="ListParagraph"/>
        <w:numPr>
          <w:ilvl w:val="0"/>
          <w:numId w:val="2"/>
        </w:numPr>
        <w:spacing w:after="80" w:before="40"/>
      </w:pPr>
      <w:r>
        <w:rPr>
          <w:rFonts w:ascii="Arial" w:cs="Arial" w:eastAsia="Arial" w:hAnsi="Arial"/>
          <w:b w:val="false"/>
          <w:bCs w:val="false"/>
          <w:color w:val="1C1C18"/>
          <w:sz w:val="22"/>
          <w:szCs w:val="22"/>
        </w:rPr>
        <w:t xml:space="preserve">No comparable local solution exists — global competitors (SAP, BeatRoute) are not built for Uganda's informal sector</w:t>
      </w:r>
    </w:p>
    <w:p>
      <w:pPr>
        <w:pStyle w:val="ListParagraph"/>
        <w:numPr>
          <w:ilvl w:val="0"/>
          <w:numId w:val="2"/>
        </w:numPr>
        <w:spacing w:after="80" w:before="40"/>
      </w:pPr>
      <w:r>
        <w:rPr>
          <w:rFonts w:ascii="Arial" w:cs="Arial" w:eastAsia="Arial" w:hAnsi="Arial"/>
          <w:b w:val="false"/>
          <w:bCs w:val="false"/>
          <w:color w:val="1C1C18"/>
          <w:sz w:val="22"/>
          <w:szCs w:val="22"/>
        </w:rPr>
        <w:t xml:space="preserve">Rwanda precedent for mobile money tax: comparable programme generated USD 180M equivalent in year one</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2048" w:sz="12"/>
              <w:left w:val="single" w:color="DDDDD8" w:sz="1"/>
              <w:bottom w:val="single" w:color="DDDDD8" w:sz="1"/>
              <w:right w:val="single" w:color="DDDDD8" w:sz="1"/>
            </w:tcBorders>
            <w:shd w:fill="EEF2FF" w:val="clear"/>
            <w:tcMar>
              <w:top w:type="dxa" w:w="120"/>
              <w:left w:type="dxa" w:w="180"/>
              <w:bottom w:type="dxa" w:w="120"/>
              <w:right w:type="dxa" w:w="180"/>
            </w:tcMar>
          </w:tcPr>
          <w:p>
            <w:pPr>
              <w:spacing w:after="40" w:before="0"/>
            </w:pPr>
            <w:r>
              <w:rPr>
                <w:rFonts w:ascii="Arial" w:cs="Arial" w:eastAsia="Arial" w:hAnsi="Arial"/>
                <w:b/>
                <w:bCs/>
                <w:color w:val="0C2048"/>
                <w:sz w:val="20"/>
                <w:szCs w:val="20"/>
              </w:rPr>
              <w:t xml:space="preserve">Alignment with IMF/World Bank DRM Priorities</w:t>
            </w:r>
          </w:p>
          <w:p>
            <w:pPr>
              <w:spacing w:after="0" w:before="0"/>
            </w:pPr>
            <w:r>
              <w:rPr>
                <w:rFonts w:ascii="Arial" w:cs="Arial" w:eastAsia="Arial" w:hAnsi="Arial"/>
                <w:color w:val="1C1C18"/>
                <w:sz w:val="21"/>
                <w:szCs w:val="21"/>
              </w:rPr>
              <w:t xml:space="preserve">The IMF's 2024 Uganda Article IV consultation explicitly identified domestic revenue mobilisation as the primary lever for fiscal sustainability. The World Bank KEMIP project funds exactly this category of intervention. Our three target products align directly with documented IMF/World Bank Uganda programme priorities: broadening the tax base, improving compliance enforcement efficiency, and reducing the informal sector tax gap.</w:t>
            </w:r>
          </w:p>
        </w:tc>
      </w:tr>
    </w:tbl>
    <w:p>
      <w:pPr>
        <w:spacing w:after="320" w:before="0"/>
      </w:pPr>
      <w:r>
        <w:t xml:space="preserve"/>
      </w:r>
    </w:p>
    <w:p>
      <w:pPr>
        <w:pBdr>
          <w:bottom w:val="single" w:color="0C2048" w:sz="8" w:space="6"/>
        </w:pBdr>
        <w:spacing w:after="160" w:before="400"/>
      </w:pPr>
      <w:r>
        <w:rPr>
          <w:rFonts w:ascii="Arial" w:cs="Arial" w:eastAsia="Arial" w:hAnsi="Arial"/>
          <w:b/>
          <w:bCs/>
          <w:color w:val="0C2048"/>
          <w:sz w:val="28"/>
          <w:szCs w:val="28"/>
        </w:rPr>
        <w:t xml:space="preserve">7. Next Steps</w:t>
      </w:r>
    </w:p>
    <w:p>
      <w:pPr>
        <w:pStyle w:val="ListParagraph"/>
        <w:numPr>
          <w:ilvl w:val="0"/>
          <w:numId w:val="3"/>
        </w:numPr>
        <w:spacing w:after="100" w:before="60"/>
      </w:pPr>
      <w:r>
        <w:rPr>
          <w:rFonts w:ascii="Arial" w:cs="Arial" w:eastAsia="Arial" w:hAnsi="Arial"/>
          <w:color w:val="1C1C18"/>
          <w:sz w:val="22"/>
          <w:szCs w:val="22"/>
        </w:rPr>
        <w:t xml:space="preserve">Request a meeting with the IMF/World Bank Uganda desk to present the platform</w:t>
      </w:r>
    </w:p>
    <w:p>
      <w:pPr>
        <w:pStyle w:val="ListParagraph"/>
        <w:numPr>
          <w:ilvl w:val="0"/>
          <w:numId w:val="3"/>
        </w:numPr>
        <w:spacing w:after="100" w:before="60"/>
      </w:pPr>
      <w:r>
        <w:rPr>
          <w:rFonts w:ascii="Arial" w:cs="Arial" w:eastAsia="Arial" w:hAnsi="Arial"/>
          <w:color w:val="1C1C18"/>
          <w:sz w:val="22"/>
          <w:szCs w:val="22"/>
        </w:rPr>
        <w:t xml:space="preserve">Provide full technical documentation, pilot data, and financial projections upon request</w:t>
      </w:r>
    </w:p>
    <w:p>
      <w:pPr>
        <w:pStyle w:val="ListParagraph"/>
        <w:numPr>
          <w:ilvl w:val="0"/>
          <w:numId w:val="3"/>
        </w:numPr>
        <w:spacing w:after="100" w:before="60"/>
      </w:pPr>
      <w:r>
        <w:rPr>
          <w:rFonts w:ascii="Arial" w:cs="Arial" w:eastAsia="Arial" w:hAnsi="Arial"/>
          <w:color w:val="1C1C18"/>
          <w:sz w:val="22"/>
          <w:szCs w:val="22"/>
        </w:rPr>
        <w:t xml:space="preserve">Willing to structure as a co-implementation agreement with URA as the primary government partner</w:t>
      </w:r>
    </w:p>
    <w:p>
      <w:pPr>
        <w:spacing w:after="240" w:before="0"/>
      </w:pPr>
      <w:r>
        <w:t xml:space="preserve"/>
      </w:r>
    </w:p>
    <w:p>
      <w:pPr>
        <w:spacing w:after="160" w:before="0"/>
      </w:pPr>
      <w:r>
        <w:rPr>
          <w:rFonts w:ascii="Arial" w:cs="Arial" w:eastAsia="Arial" w:hAnsi="Arial"/>
          <w:color w:val="1C1C18"/>
          <w:sz w:val="22"/>
          <w:szCs w:val="22"/>
        </w:rPr>
        <w:t xml:space="preserve">We believe this platform represents the most practical, deployable, and evidence-backed opportunity available to accelerate Uganda's domestic revenue mobilisation agenda. We welcome the opportunity to demonstrate it.</w:t>
      </w:r>
    </w:p>
    <w:p>
      <w:pPr>
        <w:spacing w:after="160" w:before="0"/>
      </w:pPr>
      <w:r>
        <w:t xml:space="preserve"/>
      </w:r>
    </w:p>
    <w:p>
      <w:pPr>
        <w:spacing w:after="160" w:before="0"/>
      </w:pPr>
      <w:r>
        <w:rPr>
          <w:rFonts w:ascii="Arial" w:cs="Arial" w:eastAsia="Arial" w:hAnsi="Arial"/>
          <w:color w:val="1C1C18"/>
          <w:sz w:val="22"/>
          <w:szCs w:val="22"/>
        </w:rPr>
        <w:t xml:space="preserve">Respectfully submitted,</w:t>
      </w:r>
    </w:p>
    <w:p>
      <w:pPr>
        <w:spacing w:after="3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2048" w:sz="8"/>
              <w:left w:val="single" w:color="DDDDD8" w:sz="1"/>
              <w:bottom w:val="single" w:color="DDDDD8" w:sz="1"/>
              <w:right w:val="single" w:color="DDDDD8" w:sz="1"/>
            </w:tcBorders>
            <w:shd w:fill="F0F4FF" w:val="clear"/>
            <w:tcMar>
              <w:top w:type="dxa" w:w="120"/>
              <w:left w:type="dxa" w:w="180"/>
              <w:bottom w:type="dxa" w:w="120"/>
              <w:right w:type="dxa" w:w="180"/>
            </w:tcMar>
          </w:tcPr>
          <w:p>
            <w:pPr>
              <w:spacing w:after="40" w:before="0"/>
            </w:pPr>
            <w:r>
              <w:rPr>
                <w:rFonts w:ascii="Arial" w:cs="Arial" w:eastAsia="Arial" w:hAnsi="Arial"/>
                <w:b/>
                <w:bCs/>
                <w:color w:val="0C2048"/>
                <w:sz w:val="22"/>
                <w:szCs w:val="22"/>
              </w:rPr>
              <w:t xml:space="preserve">[Your Full Name]</w:t>
            </w:r>
          </w:p>
          <w:p>
            <w:pPr>
              <w:spacing w:after="40" w:before="0"/>
            </w:pPr>
            <w:r>
              <w:rPr>
                <w:rFonts w:ascii="Arial" w:cs="Arial" w:eastAsia="Arial" w:hAnsi="Arial"/>
                <w:color w:val="1C1C18"/>
                <w:sz w:val="22"/>
                <w:szCs w:val="22"/>
              </w:rPr>
              <w:t xml:space="preserve">Founder &amp; CEO</w:t>
            </w:r>
          </w:p>
          <w:p>
            <w:pPr>
              <w:spacing w:after="40" w:before="0"/>
            </w:pPr>
            <w:r>
              <w:rPr>
                <w:rFonts w:ascii="Arial" w:cs="Arial" w:eastAsia="Arial" w:hAnsi="Arial"/>
                <w:color w:val="1C1C18"/>
                <w:sz w:val="22"/>
                <w:szCs w:val="22"/>
              </w:rPr>
              <w:t xml:space="preserve">Uganda Fiscal Intelligence Platform Ltd</w:t>
            </w:r>
          </w:p>
          <w:p>
            <w:pPr>
              <w:spacing w:after="40" w:before="0"/>
            </w:pPr>
            <w:r>
              <w:rPr>
                <w:rFonts w:ascii="Arial" w:cs="Arial" w:eastAsia="Arial" w:hAnsi="Arial"/>
                <w:color w:val="1C1C18"/>
                <w:sz w:val="22"/>
                <w:szCs w:val="22"/>
              </w:rPr>
              <w:t xml:space="preserve">+256 [Your Phone]</w:t>
            </w:r>
          </w:p>
          <w:p>
            <w:pPr>
              <w:spacing w:after="0" w:before="0"/>
            </w:pPr>
            <w:r>
              <w:rPr>
                <w:rFonts w:ascii="Arial" w:cs="Arial" w:eastAsia="Arial" w:hAnsi="Arial"/>
                <w:color w:val="0A7870"/>
                <w:sz w:val="22"/>
                <w:szCs w:val="22"/>
              </w:rPr>
              <w:t xml:space="preserve">hello@ugandafiscal.ug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2026-05-31T12:52:45.433Z</dcterms:created>
  <dcterms:modified xsi:type="dcterms:W3CDTF">2026-05-31T12:52:45.433Z</dcterms:modified>
</cp:coreProperties>
</file>

<file path=docProps/custom.xml><?xml version="1.0" encoding="utf-8"?>
<Properties xmlns="http://schemas.openxmlformats.org/officeDocument/2006/custom-properties" xmlns:vt="http://schemas.openxmlformats.org/officeDocument/2006/docPropsVTypes"/>
</file>