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0C2048"/>
          <w:sz w:val="22"/>
          <w:szCs w:val="22"/>
        </w:rPr>
        <w:t xml:space="preserve">Uganda Fiscal Intelligence Platform Ltd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Kampala, Uganda  |  hello@ugandafiscal.ug  |  +256 700 FISCAL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19 May 2025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C1C18"/>
          <w:sz w:val="22"/>
          <w:szCs w:val="22"/>
        </w:rPr>
        <w:t xml:space="preserve">The Commissioner for Domestic Taxes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Uganda Revenue Authority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Plot 45 Jinja Road, Kampala</w:t>
      </w:r>
    </w:p>
    <w:p>
      <w:pPr>
        <w:spacing w:after="3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C2048"/>
          <w:sz w:val="22"/>
          <w:szCs w:val="22"/>
        </w:rPr>
        <w:t xml:space="preserve">RE: PROPOSAL — EFRIS BRIDGE &amp; COMPLIANCE INTELLIGENCE PARTNERSHIP (PRIVATE SECTOR TECHNOLOGY PARTNER)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Dear Commissioner,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I write to propose a formal private sector technology partnership between Uganda Revenue Authority and Uganda Fiscal Intelligence Platform Ltd, specifically around two products that directly address documented gaps in Uganda's EFRIS compliance programme.</w:t>
      </w:r>
    </w:p>
    <w:p>
      <w:pPr>
        <w:spacing w:after="240" w:before="0"/>
      </w:pPr>
      <w:r>
        <w:t xml:space="preserve"/>
      </w:r>
    </w:p>
    <w:p>
      <w:pPr>
        <w:pBdr>
          <w:bottom w:val="single" w:color="0C204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C2048"/>
          <w:sz w:val="28"/>
          <w:szCs w:val="28"/>
        </w:rPr>
        <w:t xml:space="preserve">The Problem We Are Solving for URA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The Uganda Business Climate Index (EPRC, Q2 2024) found that 51% of businesses reported negative impacts from EFRIS enforcement, with compliance costs increasing significantly. Despite growing registrations, EFRIS compliance has remained stuck at approximately 48% for five consecutive months. Uganda's revenue shortfall in 2025 was UGX 1.7 trillion.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Research confirms the core barrier: EFRIS was designed for formal businesses with computers, internet, and accounting software. Approximately 80% of Uganda's economy — informal traders, market vendors, boda boda operators, small construction contractors — cannot comply with EFRIS through any of its current three channels. This 80% represents the majority of Uganda's tax gap.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We have built the solution to this specific problem. We are requesting URA's endorsement and partnership to scale it nationally.</w:t>
      </w:r>
    </w:p>
    <w:p>
      <w:pPr>
        <w:spacing w:after="240" w:before="0"/>
      </w:pPr>
      <w:r>
        <w:t xml:space="preserve"/>
      </w:r>
    </w:p>
    <w:p>
      <w:pPr>
        <w:pBdr>
          <w:bottom w:val="single" w:color="0C204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C2048"/>
          <w:sz w:val="28"/>
          <w:szCs w:val="28"/>
        </w:rPr>
        <w:t xml:space="preserve">Product 1 — EFRIS Bridge: Tax Compliance via USSD and WhatsApp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EFRIS Bridge allows any informal trader in Uganda to issue a fully EFRIS-compliant e-receipt using any MTN or Airtel phone — including a basic Nokia feature phone. No computer. No internet connection. No EFD hardware.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Trader dials *284# on any MTN/Airtel phone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Inputs sale amount and product category (3 menu steps)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EFRIS Bridge formats and digitally signs the invoice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Submits to URA EFRIS API in real time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Trader receives Fiscal Document Number (FDN) by SMS within 5 seconds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E44" w:sz="1"/>
              <w:left w:val="single" w:color="1A6E44" w:sz="1"/>
              <w:bottom w:val="single" w:color="1A6E44" w:sz="1"/>
              <w:right w:val="single" w:color="1A6E44" w:sz="1"/>
            </w:tcBorders>
            <w:shd w:fill="1A6E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Scale (Live Pilot)</w:t>
            </w:r>
          </w:p>
        </w:tc>
        <w:tc>
          <w:tcPr>
            <w:tcW w:type="dxa" w:w="4680"/>
            <w:tcBorders>
              <w:top w:val="single" w:color="1A6E44" w:sz="1"/>
              <w:left w:val="single" w:color="1A6E44" w:sz="1"/>
              <w:bottom w:val="single" w:color="1A6E44" w:sz="1"/>
              <w:right w:val="single" w:color="1A6E44" w:sz="1"/>
            </w:tcBorders>
            <w:shd w:fill="1A6E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1"/>
                <w:szCs w:val="21"/>
              </w:rPr>
              <w:t xml:space="preserve">Informal businesses enrolled</w:t>
            </w:r>
          </w:p>
        </w:tc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44"/>
                <w:sz w:val="21"/>
                <w:szCs w:val="21"/>
              </w:rPr>
              <w:t xml:space="preserve">14,820 and growing</w:t>
            </w:r>
          </w:p>
        </w:tc>
      </w:tr>
      <w:tr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1"/>
                <w:szCs w:val="21"/>
              </w:rPr>
              <w:t xml:space="preserve">EFRIS transactions per month</w:t>
            </w:r>
          </w:p>
        </w:tc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44"/>
                <w:sz w:val="21"/>
                <w:szCs w:val="21"/>
              </w:rPr>
              <w:t xml:space="preserve">248,420</w:t>
            </w:r>
          </w:p>
        </w:tc>
      </w:tr>
      <w:tr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1"/>
                <w:szCs w:val="21"/>
              </w:rPr>
              <w:t xml:space="preserve">New tax captured per month</w:t>
            </w:r>
          </w:p>
        </w:tc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44"/>
                <w:sz w:val="21"/>
                <w:szCs w:val="21"/>
              </w:rPr>
              <w:t xml:space="preserve">UGX 3.8 billion</w:t>
            </w:r>
          </w:p>
        </w:tc>
      </w:tr>
      <w:tr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1"/>
                <w:szCs w:val="21"/>
              </w:rPr>
              <w:t xml:space="preserve">Districts covered</w:t>
            </w:r>
          </w:p>
        </w:tc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44"/>
                <w:sz w:val="21"/>
                <w:szCs w:val="21"/>
              </w:rPr>
              <w:t xml:space="preserve">14 — including Gulu, Arua, Mbarara, Jinja</w:t>
            </w:r>
          </w:p>
        </w:tc>
      </w:tr>
      <w:tr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1"/>
                <w:szCs w:val="21"/>
              </w:rPr>
              <w:t xml:space="preserve">Annualised new tax revenue</w:t>
            </w:r>
          </w:p>
        </w:tc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44"/>
                <w:sz w:val="21"/>
                <w:szCs w:val="21"/>
              </w:rPr>
              <w:t xml:space="preserve">UGX 45.6 billion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0C204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C2048"/>
          <w:sz w:val="28"/>
          <w:szCs w:val="28"/>
        </w:rPr>
        <w:t xml:space="preserve">Product 2 — EFRIS Intelligence: AI-Powered Compliance Analytics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EFRIS Intelligence is a compliance analytics platform that gives URA's Domestic Taxes team real-time visibility into who is genuinely compliant, who is registered but dormant, and which businesses show statistical anomalies indicating invoice suppression or VAT fraud.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8"/>
          <w:sz w:val="22"/>
          <w:szCs w:val="22"/>
        </w:rPr>
        <w:t xml:space="preserve">National compliance heatmap by district and sector — updated daily from EFRIS data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8"/>
          <w:sz w:val="22"/>
          <w:szCs w:val="22"/>
        </w:rPr>
        <w:t xml:space="preserve">4,821 dormant taxpayer identification — registered but zero invoices in 90+ days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8"/>
          <w:sz w:val="22"/>
          <w:szCs w:val="22"/>
        </w:rPr>
        <w:t xml:space="preserve">127 AI anomaly detections — businesses whose EFRIS declarations don't match their known economic activity (vehicles, property, MoMo volumes)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8"/>
          <w:sz w:val="22"/>
          <w:szCs w:val="22"/>
        </w:rPr>
        <w:t xml:space="preserve">AI-ranked audit queue — directs field investigators to the highest-yield targets first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8"/>
          <w:sz w:val="22"/>
          <w:szCs w:val="22"/>
        </w:rPr>
        <w:t xml:space="preserve">Automated SMS re-engagement for dormant accounts — 18% response rate in pilot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E44" w:sz="12"/>
              <w:left w:val="single" w:color="DDDDD8" w:sz="1"/>
              <w:bottom w:val="single" w:color="DDDDD8" w:sz="1"/>
              <w:right w:val="single" w:color="DDDDD8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E44"/>
                <w:sz w:val="20"/>
                <w:szCs w:val="20"/>
              </w:rPr>
              <w:t xml:space="preserve">Revenue Impact: Data-Driven vs Random Enforcement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8"/>
                <w:sz w:val="21"/>
                <w:szCs w:val="21"/>
              </w:rPr>
              <w:t xml:space="preserve">In our pilot, AI-targeted inspections recovered UGX 840 million per audit on average, compared to UGX 82 million from traditional random inspections — a 10.2x improvement. Using the same number of field officers, intelligence-led enforcement generates over 10x the revenue recovery per inspector-day.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0C204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C2048"/>
          <w:sz w:val="28"/>
          <w:szCs w:val="28"/>
        </w:rPr>
        <w:t xml:space="preserve">What We Are Requesting from URA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Official listing as a URA-Authorised EFRIS Integration Partner — enabling businesses to be directed to our platform for EFRIS compliance assistance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Access to anonymised EFRIS transaction data (under a data sharing agreement) to train and improve our anomaly detection AI model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A formal Technology Partnership MOU under which EFRIS Bridge operates as a recognised EFRIS submission channel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A meeting with your team to demonstrate both products and discuss a scaled national deployment</w:t>
      </w:r>
    </w:p>
    <w:p>
      <w:pPr>
        <w:spacing w:after="240" w:before="0"/>
      </w:pPr>
      <w:r>
        <w:t xml:space="preserve"/>
      </w:r>
    </w:p>
    <w:p>
      <w:pPr>
        <w:pBdr>
          <w:bottom w:val="single" w:color="0C204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C2048"/>
          <w:sz w:val="28"/>
          <w:szCs w:val="28"/>
        </w:rPr>
        <w:t xml:space="preserve">Proposed Partnership Model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We propose three parallel revenue arrangements, any one or all of which URA may adopt: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C2048" w:sz="1"/>
              <w:left w:val="single" w:color="0C2048" w:sz="1"/>
              <w:bottom w:val="single" w:color="0C2048" w:sz="1"/>
              <w:right w:val="single" w:color="0C2048" w:sz="1"/>
            </w:tcBorders>
            <w:shd w:fill="0C20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120"/>
            <w:tcBorders>
              <w:top w:val="single" w:color="0C2048" w:sz="1"/>
              <w:left w:val="single" w:color="0C2048" w:sz="1"/>
              <w:bottom w:val="single" w:color="0C2048" w:sz="1"/>
              <w:right w:val="single" w:color="0C2048" w:sz="1"/>
            </w:tcBorders>
            <w:shd w:fill="0C20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  <w:tc>
          <w:tcPr>
            <w:tcW w:type="dxa" w:w="3120"/>
            <w:tcBorders>
              <w:top w:val="single" w:color="0C2048" w:sz="1"/>
              <w:left w:val="single" w:color="0C2048" w:sz="1"/>
              <w:bottom w:val="single" w:color="0C2048" w:sz="1"/>
              <w:right w:val="single" w:color="0C2048" w:sz="1"/>
            </w:tcBorders>
            <w:shd w:fill="0C20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C</w:t>
            </w:r>
          </w:p>
        </w:tc>
      </w:tr>
      <w:tr>
        <w:tc>
          <w:tcPr>
            <w:tcW w:type="dxa" w:w="312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0"/>
                <w:szCs w:val="20"/>
              </w:rPr>
              <w:t xml:space="preserve">Private SaaS — URA endorses, we charge businesses directly. Zero cost to URA. More businesses compliant = more tax revenue.</w:t>
            </w:r>
          </w:p>
        </w:tc>
        <w:tc>
          <w:tcPr>
            <w:tcW w:type="dxa" w:w="312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0"/>
                <w:szCs w:val="20"/>
              </w:rPr>
              <w:t xml:space="preserve">Revenue share — URA pays us a fee per new informal taxpayer enrolled via Bridge. We are incentivised to grow the tax base.</w:t>
            </w:r>
          </w:p>
        </w:tc>
        <w:tc>
          <w:tcPr>
            <w:tcW w:type="dxa" w:w="312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0"/>
                <w:szCs w:val="20"/>
              </w:rPr>
              <w:t xml:space="preserve">Government contract — URA contracts us to operate EFRIS Bridge nationally and provide EFRIS Intelligence analytics. Annual contract: UGX 800M–2B.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I look forward to the opportunity to demonstrate these tools and discuss how we can work together toward Uganda's 20% tax-to-GDP target.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Yours faithfully,</w:t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2048" w:sz="8"/>
              <w:left w:val="single" w:color="DDDDD8" w:sz="1"/>
              <w:bottom w:val="single" w:color="DDDDD8" w:sz="1"/>
              <w:right w:val="single" w:color="DDDDD8" w:sz="1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C2048"/>
                <w:sz w:val="22"/>
                <w:szCs w:val="22"/>
              </w:rPr>
              <w:t xml:space="preserve">[Your Full Name]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8"/>
                <w:sz w:val="22"/>
                <w:szCs w:val="22"/>
              </w:rPr>
              <w:t xml:space="preserve">Founder &amp; CEO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8"/>
                <w:sz w:val="22"/>
                <w:szCs w:val="22"/>
              </w:rPr>
              <w:t xml:space="preserve">Uganda Fiscal Intelligence Platform Ltd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8"/>
                <w:sz w:val="22"/>
                <w:szCs w:val="22"/>
              </w:rPr>
              <w:t xml:space="preserve">+256 [Your Phone]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7870"/>
                <w:sz w:val="22"/>
                <w:szCs w:val="22"/>
              </w:rPr>
              <w:t xml:space="preserve">hello@ugandafiscal.ug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2026-05-31T12:52:45.411Z</dcterms:created>
  <dcterms:modified xsi:type="dcterms:W3CDTF">2026-05-31T12:52:45.411Z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