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15.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bookmarkStart w:id="9" w:name="product-framing"/>
    <w:p>
      <w:pPr>
        <w:pStyle w:val="Heading2"/>
      </w:pPr>
      <w:r>
        <w:t xml:space="preserve">Product framing</w:t>
      </w:r>
    </w:p>
    <w:p>
      <w:pPr>
        <w:pStyle w:val="FirstParagraph"/>
      </w:pPr>
      <w:r>
        <w:t xml:space="preserve">Our group developed a product for students interested in entering the apparel and fashion industry and seeking analytics-related opportunities.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2"/>
      </w:pPr>
      <w:r>
        <w:t xml:space="preserve">Scope and data</w:t>
      </w:r>
    </w:p>
    <w:p>
      <w:pPr>
        <w:pStyle w:val="FirstParagraph"/>
      </w:pPr>
      <w:r>
        <w:t xml:space="preserve">Although the dataset included 504,208 job postings extracted from 21 parquet parts, only 19 had the NAICS 458 code and were usable for this evaluation,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21" w:name="market-baseline"/>
    <w:p>
      <w:pPr>
        <w:pStyle w:val="Heading2"/>
      </w:pPr>
      <w:r>
        <w:t xml:space="preserve">Market Baseline</w:t>
      </w:r>
    </w:p>
    <w:p>
      <w:pPr>
        <w:pStyle w:val="FirstParagraph"/>
      </w:pPr>
      <w:r>
        <w:t xml:space="preserve">The market baseline examines the apparel and fashion industry demand, salary, location, working arrangement, and required experience for the selected analytics market. The results indicate that Business Intelligence (BI) and Data Analytics, along with Marketing and Customer Analytics, make up the most postings by functional analytics area. Job opportunities were concentrated in California, Massachusetts, and New York.</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2" name="Picture"/>
                    <a:graphic>
                      <a:graphicData uri="http://schemas.openxmlformats.org/drawingml/2006/picture">
                        <pic:pic>
                          <pic:nvPicPr>
                            <pic:cNvPr descr="figures/market_baseline/location_patterns.png" id="13" name="Picture"/>
                            <pic:cNvPicPr>
                              <a:picLocks noChangeArrowheads="1" noChangeAspect="1"/>
                            </pic:cNvPicPr>
                          </pic:nvPicPr>
                          <pic:blipFill>
                            <a:blip r:embed="rId11"/>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but showed a range of approximately $85,000 to $160,000. Work arrangement was also missing details, showing hybrid and remote positions; onsite was not explicitly classified.</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16" name="Picture"/>
                    <a:graphic>
                      <a:graphicData uri="http://schemas.openxmlformats.org/drawingml/2006/picture">
                        <pic:pic>
                          <pic:nvPicPr>
                            <pic:cNvPr descr="figures/market_baseline/salary_distribution.png" id="17" name="Picture"/>
                            <pic:cNvPicPr>
                              <a:picLocks noChangeArrowheads="1" noChangeAspect="1"/>
                            </pic:cNvPicPr>
                          </pic:nvPicPr>
                          <pic:blipFill>
                            <a:blip r:embed="rId15"/>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Experience data was also missing from our data; however, most opportunities did not require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19" name="Picture"/>
                    <a:graphic>
                      <a:graphicData uri="http://schemas.openxmlformats.org/drawingml/2006/picture">
                        <pic:pic>
                          <pic:nvPicPr>
                            <pic:cNvPr descr="figures/market_baseline/experience_distribution.png" id="20" name="Picture"/>
                            <pic:cNvPicPr>
                              <a:picLocks noChangeArrowheads="1" noChangeAspect="1"/>
                            </pic:cNvPicPr>
                          </pic:nvPicPr>
                          <pic:blipFill>
                            <a:blip r:embed="rId18"/>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small dataset size and incomplete job posting information limit the ability to generalize these results to the broader fashion and apparel industry.</w:t>
      </w:r>
    </w:p>
    <w:bookmarkEnd w:id="21"/>
    <w:bookmarkStart w:id="29" w:name="skill-gap-analysis"/>
    <w:p>
      <w:pPr>
        <w:pStyle w:val="Heading2"/>
      </w:pPr>
      <w:r>
        <w:t xml:space="preserve">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3810000"/>
                    <wp:effectExtent b="0" l="0" r="0" t="0"/>
                    <wp:docPr descr="" title="" id="23" name="Picture"/>
                    <a:graphic>
                      <a:graphicData uri="http://schemas.openxmlformats.org/drawingml/2006/picture">
                        <pic:pic>
                          <pic:nvPicPr>
                            <pic:cNvPr descr="figures/skill_gap_analysis/top_skills.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Our Skill Gap Summary showed our group reported average proficiency scores of 2.75 in Power BI and 3.25 in SQL, indicating skills set to high priority. Excel and Python were set to moderate priority, although the team demonstrated stronger proficiency with these skills. All other skills, including Data Analysis, were identified as low priority.</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2388911"/>
                    <wp:effectExtent b="0" l="0" r="0" t="0"/>
                    <wp:docPr descr="" title="" id="27" name="Picture"/>
                    <a:graphic>
                      <a:graphicData uri="http://schemas.openxmlformats.org/drawingml/2006/picture">
                        <pic:pic>
                          <pic:nvPicPr>
                            <pic:cNvPr descr="figures/skill_gap_analysis/skill_gap_summary.png" id="28" name="Picture"/>
                            <pic:cNvPicPr>
                              <a:picLocks noChangeArrowheads="1" noChangeAspect="1"/>
                            </pic:cNvPicPr>
                          </pic:nvPicPr>
                          <pic:blipFill>
                            <a:blip r:embed="rId26"/>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29"/>
    <w:bookmarkStart w:id="34" w:name="final-analytics"/>
    <w:p>
      <w:pPr>
        <w:pStyle w:val="Heading2"/>
      </w:pPr>
      <w:r>
        <w:t xml:space="preserve">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33">
              <w:r>
                <w:drawing>
                  <wp:inline>
                    <wp:extent cx="5334000" cy="3522251"/>
                    <wp:effectExtent b="0" l="0" r="0" t="0"/>
                    <wp:docPr descr="" title="" id="31" name="Picture"/>
                    <a:graphic>
                      <a:graphicData uri="http://schemas.openxmlformats.org/drawingml/2006/picture">
                        <pic:pic>
                          <pic:nvPicPr>
                            <pic:cNvPr descr="figures/opportunity_scorecard/opportunity_scorecard_assessment.png" id="32" name="Picture"/>
                            <pic:cNvPicPr>
                              <a:picLocks noChangeArrowheads="1" noChangeAspect="1"/>
                            </pic:cNvPicPr>
                          </pic:nvPicPr>
                          <pic:blipFill>
                            <a:blip r:embed="rId30"/>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However, evaluation of the scoring components showed us that the employer signal had the strongest influence on the final score, meaning companies with more postings were more likely to rank highly. With this in mind, and considering this is not a predictive model, the scorecard is best interpreted as a career prioritization tool.</w:t>
      </w:r>
    </w:p>
    <w:bookmarkEnd w:id="34"/>
    <w:bookmarkStart w:id="35" w:name="recommendations"/>
    <w:p>
      <w:pPr>
        <w:pStyle w:val="Heading2"/>
      </w:pPr>
      <w:r>
        <w:t xml:space="preserve">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opportunity in California, Massachusetts, and New York.</w:t>
      </w:r>
    </w:p>
    <w:p>
      <w:pPr>
        <w:pStyle w:val="BodyText"/>
      </w:pPr>
      <w:r>
        <w:t xml:space="preserve">Students should also focus on developing their Power BI and SQL skills, as they are the most in-demand skills. The third most important skill is Python, though less than half of these postings required it. In our group’s assessment, Alyssa and Ankita should work on their Power BI skills, then move to SQL practice against our own filtered dataset. Sara should prioritize Power BI first, building on her existing Excel strength. Zech should focus on additional Power BI features and build on his existing SQL skills.</w:t>
      </w:r>
    </w:p>
    <w:bookmarkEnd w:id="35"/>
    <w:bookmarkStart w:id="36" w:name="limitations"/>
    <w:p>
      <w:pPr>
        <w:pStyle w:val="Heading2"/>
      </w:pPr>
      <w:r>
        <w:t xml:space="preserve">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2026-10-06T17:33:02Z</dcterms:created>
  <dcterms:modified xsi:type="dcterms:W3CDTF">2026-10-06T17:33:02Z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