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20.png" ContentType="image/png"/>
  <Override PartName="/word/media/rId23.png" ContentType="image/png"/>
  <Override PartName="/word/media/rId26.png" ContentType="image/png"/>
  <Override PartName="/word/media/rId17.png" ContentType="image/png"/>
  <Override PartName="/word/media/rId43.png" ContentType="image/png"/>
  <Override PartName="/word/media/rId40.png" ContentType="image/png"/>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p>
      <w:pPr>
        <w:pStyle w:val="FirstParagraph"/>
      </w:pPr>
      <w:r>
        <w:rPr>
          <w:b/>
          <w:bCs/>
        </w:rPr>
        <w:t xml:space="preserve">Project website:</w:t>
      </w:r>
      <w:r>
        <w:t xml:space="preserve"> </w:t>
      </w:r>
      <w:hyperlink r:id="rId9">
        <w:r>
          <w:rPr>
            <w:rStyle w:val="Hyperlink"/>
          </w:rPr>
          <w:t xml:space="preserve">https://zechnschweitzer.github.io/ad688-fashion-apparel-evaluation-group7/</w:t>
        </w:r>
      </w:hyperlink>
      <w:r>
        <w:br/>
      </w:r>
      <w:r>
        <w:rPr>
          <w:b/>
          <w:bCs/>
        </w:rPr>
        <w:t xml:space="preserve">GitHub repository:</w:t>
      </w:r>
      <w:r>
        <w:t xml:space="preserve"> </w:t>
      </w:r>
      <w:hyperlink r:id="rId10">
        <w:r>
          <w:rPr>
            <w:rStyle w:val="Hyperlink"/>
          </w:rPr>
          <w:t xml:space="preserve">https://github.com/zechnschweitzer/ad688-fashion-apparel-evaluation-group7</w:t>
        </w:r>
      </w:hyperlink>
    </w:p>
    <w:bookmarkStart w:id="11"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w:t>
      </w:r>
    </w:p>
    <w:p>
      <w:pPr>
        <w:pStyle w:val="BodyText"/>
      </w:pPr>
      <w:r>
        <w:t xml:space="preserve">A broader literature review on business analytics hiring shows a consistent pattern. Umamaheswaran et al. (2023) found business analytics postings ask for a mix of big data, business intelligence, and analytical technique alongside communication and stakeholder management</w:t>
      </w:r>
      <w:r>
        <w:t xml:space="preserve"> </w:t>
      </w:r>
      <w:r>
        <w:t xml:space="preserve">(Umamaheswaran et al., 2023)</w:t>
      </w:r>
      <w:r>
        <w:t xml:space="preserve">. Alshameri and Adhikari (2025) identified a similar mix of general tools and field-specific skills in business postings, describing a growing disconnect between what schools teach and what employers actually look for</w:t>
      </w:r>
      <w:r>
        <w:t xml:space="preserve"> </w:t>
      </w:r>
      <w:r>
        <w:t xml:space="preserve">(Alshameri &amp; Adhikari, 2025)</w:t>
      </w:r>
      <w:r>
        <w:t xml:space="preserve">. Debortoli et al. (2014) found that business intelligence and big data postings separate technical tool skills from broader analytical thinking, with the strongest candidates showing both</w:t>
      </w:r>
      <w:r>
        <w:t xml:space="preserve"> </w:t>
      </w:r>
      <w:r>
        <w:t xml:space="preserve">(Debortoli et al., 2014)</w:t>
      </w:r>
      <w:r>
        <w:t xml:space="preserve">. Apparel retail is a fitting test case for that combination: IBISWorld (2025) backs forecasting, inventory, pricing, and supply chain decisions as recurring analytical needs in clothing and accessory retail</w:t>
      </w:r>
      <w:r>
        <w:t xml:space="preserve"> </w:t>
      </w:r>
      <w:r>
        <w:t xml:space="preserve">(IBISWorld, 2025)</w:t>
      </w:r>
      <w:r>
        <w:t xml:space="preserve">, and The Planet Group (2025) found retail hiring has grown more selective even as it leans harder into technology, analytics, and customer experience</w:t>
      </w:r>
      <w:r>
        <w:t xml:space="preserve"> </w:t>
      </w:r>
      <w:r>
        <w:t xml:space="preserve">(The Planet Group, 2025)</w:t>
      </w:r>
      <w:r>
        <w:t xml:space="preserve">.</w:t>
      </w:r>
    </w:p>
    <w:p>
      <w:pPr>
        <w:pStyle w:val="BlockText"/>
      </w:pPr>
      <w:r>
        <w:rPr>
          <w:b/>
          <w:bCs/>
        </w:rPr>
        <w:t xml:space="preserve">Which skills are most valued for business and data analyst roles in apparel retail, and how well does our team’s current skill set match those demands?</w:t>
      </w:r>
    </w:p>
    <w:p>
      <w:pPr>
        <w:pStyle w:val="FirstParagraph"/>
      </w:pPr>
      <w:r>
        <w:t xml:space="preserve">This project is aimed at BU MET students exploring analytics career paths in apparel retail. It helps them identify suitable job opportunities, assess skill gaps, and determine which skills to develop next. This analysis focuses on apparel and fashion employers under the North American Industry Classification System (NAICS) code 458, Clothing, Clothing Accessories, Shoes, and Jewelry Retailers.</w:t>
      </w:r>
    </w:p>
    <w:bookmarkEnd w:id="11"/>
    <w:bookmarkStart w:id="12"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p>
      <w:pPr>
        <w:pStyle w:val="TableCaption"/>
      </w:pPr>
      <w:r>
        <w:rPr>
          <w:b/>
          <w:bCs/>
        </w:rPr>
        <w:t xml:space="preserve">Table 1:</w:t>
      </w:r>
      <w:r>
        <w:t xml:space="preserve"> </w:t>
      </w:r>
      <w:r>
        <w:t xml:space="preserve">Filter funnel from raw dataset to final analytical sample</w:t>
      </w:r>
    </w:p>
    <w:tbl>
      <w:tblPr>
        <w:tblStyle w:val="Table"/>
        <w:tblW w:type="pct" w:w="5000"/>
        <w:tblLayout w:type="fixed"/>
        <w:tblLook w:firstRow="1" w:lastRow="0" w:firstColumn="0" w:lastColumn="0" w:noHBand="0" w:noVBand="0" w:val="0020"/>
        <w:tblCaption w:val="Table 1: Filter funnel from raw dataset to final analytical sample"/>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2"/>
    <w:bookmarkStart w:id="32"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191000"/>
                    <wp:effectExtent b="0" l="0" r="0" t="0"/>
                    <wp:docPr descr="" title="" id="14" name="Picture"/>
                    <a:graphic>
                      <a:graphicData uri="http://schemas.openxmlformats.org/drawingml/2006/picture">
                        <pic:pic>
                          <pic:nvPicPr>
                            <pic:cNvPr descr="figures/market_baseline/job_volume_by_title.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rPr>
          <w:i/>
          <w:iCs/>
        </w:rPr>
        <w:t xml:space="preserve">Figure 1: Top job titles in the apparel analytics sample</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810000"/>
                    <wp:effectExtent b="0" l="0" r="0" t="0"/>
                    <wp:docPr descr="" title="" id="18" name="Picture"/>
                    <a:graphic>
                      <a:graphicData uri="http://schemas.openxmlformats.org/drawingml/2006/picture">
                        <pic:pic>
                          <pic:nvPicPr>
                            <pic:cNvPr descr="figures/market_baseline/top_employers.png" id="19" name="Picture"/>
                            <pic:cNvPicPr>
                              <a:picLocks noChangeArrowheads="1" noChangeAspect="1"/>
                            </pic:cNvPicPr>
                          </pic:nvPicPr>
                          <pic:blipFill>
                            <a:blip r:embed="rId17"/>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rPr>
          <w:i/>
          <w:iCs/>
        </w:rPr>
        <w:t xml:space="preserve">Figure 2: Top employers in the selected market</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21" name="Picture"/>
                    <a:graphic>
                      <a:graphicData uri="http://schemas.openxmlformats.org/drawingml/2006/picture">
                        <pic:pic>
                          <pic:nvPicPr>
                            <pic:cNvPr descr="figures/market_baseline/location_patterns.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rPr>
          <w:i/>
          <w:iCs/>
        </w:rPr>
        <w:t xml:space="preserve">Figure 3: Job postings by state</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200400"/>
                    <wp:effectExtent b="0" l="0" r="0" t="0"/>
                    <wp:docPr descr="" title="" id="24" name="Picture"/>
                    <a:graphic>
                      <a:graphicData uri="http://schemas.openxmlformats.org/drawingml/2006/picture">
                        <pic:pic>
                          <pic:nvPicPr>
                            <pic:cNvPr descr="figures/market_baseline/remote_onsite_patterns.png" id="25" name="Picture"/>
                            <pic:cNvPicPr>
                              <a:picLocks noChangeArrowheads="1" noChangeAspect="1"/>
                            </pic:cNvPicPr>
                          </pic:nvPicPr>
                          <pic:blipFill>
                            <a:blip r:embed="rId23"/>
                            <a:stretch>
                              <a:fillRect/>
                            </a:stretch>
                          </pic:blipFill>
                          <pic:spPr bwMode="auto">
                            <a:xfrm>
                              <a:off x="0" y="0"/>
                              <a:ext cx="5334000" cy="3200400"/>
                            </a:xfrm>
                            <a:prstGeom prst="rect">
                              <a:avLst/>
                            </a:prstGeom>
                            <a:noFill/>
                            <a:ln w="9525">
                              <a:noFill/>
                              <a:headEnd/>
                              <a:tailEnd/>
                            </a:ln>
                          </pic:spPr>
                        </pic:pic>
                      </a:graphicData>
                    </a:graphic>
                  </wp:inline>
                </w:drawing>
              </w:r>
            </w:hyperlink>
          </w:p>
        </w:tc>
      </w:tr>
    </w:tbl>
    <w:p>
      <w:pPr>
        <w:pStyle w:val="ImageCaption"/>
      </w:pPr>
      <w:r>
        <w:t xml:space="preserve">Market Baseline-Remote vs Onsite</w:t>
      </w:r>
    </w:p>
    <w:p>
      <w:pPr>
        <w:pStyle w:val="BodyText"/>
      </w:pPr>
      <w:r>
        <w:rPr>
          <w:i/>
          <w:iCs/>
        </w:rPr>
        <w:t xml:space="preserve">Figure 4: Reported work arrangement</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267200"/>
                    <wp:effectExtent b="0" l="0" r="0" t="0"/>
                    <wp:docPr descr="" title="" id="27" name="Picture"/>
                    <a:graphic>
                      <a:graphicData uri="http://schemas.openxmlformats.org/drawingml/2006/picture">
                        <pic:pic>
                          <pic:nvPicPr>
                            <pic:cNvPr descr="figures/market_baseline/salary_distribution.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rPr>
          <w:i/>
          <w:iCs/>
        </w:rPr>
        <w:t xml:space="preserve">Figure 5: Observed salary ranges</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30" name="Picture"/>
                    <a:graphic>
                      <a:graphicData uri="http://schemas.openxmlformats.org/drawingml/2006/picture">
                        <pic:pic>
                          <pic:nvPicPr>
                            <pic:cNvPr descr="figures/market_baseline/experience_distribution.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rPr>
          <w:i/>
          <w:iCs/>
        </w:rPr>
        <w:t xml:space="preserve">Figure 6: Observed minimum experience requirements</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2"/>
    <w:bookmarkStart w:id="46"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w:t>
      </w:r>
      <w:r>
        <w:t xml:space="preserve"> </w:t>
      </w:r>
      <w:r>
        <w:t xml:space="preserve">“Target Level”</w:t>
      </w:r>
      <w:r>
        <w:t xml:space="preserve">.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p>
      <w:pPr>
        <w:pStyle w:val="TableCaption"/>
      </w:pPr>
      <w:r>
        <w:rPr>
          <w:b/>
          <w:bCs/>
        </w:rPr>
        <w:t xml:space="preserve">Table 2:</w:t>
      </w:r>
      <w:r>
        <w:t xml:space="preserve"> </w:t>
      </w:r>
      <w:r>
        <w:t xml:space="preserve">Skill gap summary: market demand, target level, team average, and priority</w:t>
      </w:r>
    </w:p>
    <w:tbl>
      <w:tblPr>
        <w:tblStyle w:val="Table"/>
        <w:tblW w:type="pct" w:w="5000"/>
        <w:tblLayout w:type="fixed"/>
        <w:tblLook w:firstRow="1" w:lastRow="0" w:firstColumn="0" w:lastColumn="0" w:noHBand="0" w:noVBand="0" w:val="0020"/>
        <w:tblCaption w:val="Table 2: Skill gap summary: market demand, target level, team average, and priority"/>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810000"/>
                    <wp:effectExtent b="0" l="0" r="0" t="0"/>
                    <wp:docPr descr="" title="" id="34" name="Picture"/>
                    <a:graphic>
                      <a:graphicData uri="http://schemas.openxmlformats.org/drawingml/2006/picture">
                        <pic:pic>
                          <pic:nvPicPr>
                            <pic:cNvPr descr="figures/skill_gap_analysis/top_skills.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rPr>
          <w:i/>
          <w:iCs/>
        </w:rPr>
        <w:t xml:space="preserve">Figure 7: Most in-demand skills in apparel analytics postings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429000"/>
                    <wp:effectExtent b="0" l="0" r="0" t="0"/>
                    <wp:docPr descr="" title="" id="38" name="Picture"/>
                    <a:graphic>
                      <a:graphicData uri="http://schemas.openxmlformats.org/drawingml/2006/picture">
                        <pic:pic>
                          <pic:nvPicPr>
                            <pic:cNvPr descr="figures/skill_gap_analysis/team_skill_heatmap.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rPr>
          <w:i/>
          <w:iCs/>
        </w:rPr>
        <w:t xml:space="preserve">Figure 8: Team skill levels (1 = Beginner, 5 = Expert)</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1" name="Picture"/>
                    <a:graphic>
                      <a:graphicData uri="http://schemas.openxmlformats.org/drawingml/2006/picture">
                        <pic:pic>
                          <pic:nvPicPr>
                            <pic:cNvPr descr="figures/skill_gap_analysis/team_average_proficiency.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rPr>
          <w:i/>
          <w:iCs/>
        </w:rPr>
        <w:t xml:space="preserve">Figure 9: Average team proficiency by skill</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4" name="Picture"/>
                    <a:graphic>
                      <a:graphicData uri="http://schemas.openxmlformats.org/drawingml/2006/picture">
                        <pic:pic>
                          <pic:nvPicPr>
                            <pic:cNvPr descr="figures/skill_gap_analysis/skill_gap_diverging.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p>
      <w:pPr>
        <w:pStyle w:val="BodyText"/>
      </w:pPr>
      <w:r>
        <w:rPr>
          <w:i/>
          <w:iCs/>
        </w:rPr>
        <w:t xml:space="preserve">Figure 10: Skill gap, market target vs. team average</w:t>
      </w:r>
    </w:p>
    <w:bookmarkEnd w:id="46"/>
    <w:bookmarkStart w:id="47"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7"/>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p>
      <w:pPr>
        <w:pStyle w:val="TableCaption"/>
      </w:pPr>
      <w:r>
        <w:rPr>
          <w:b/>
          <w:bCs/>
        </w:rPr>
        <w:t xml:space="preserve">Table 3:</w:t>
      </w:r>
      <w:r>
        <w:t xml:space="preserve"> </w:t>
      </w:r>
      <w:r>
        <w:t xml:space="preserve">Opportunity Scorecard, ranked by skill fit, accessibility, and employer signal</w:t>
      </w:r>
    </w:p>
    <w:tbl>
      <w:tblPr>
        <w:tblStyle w:val="Table"/>
        <w:tblW w:type="pct" w:w="5000"/>
        <w:tblLayout w:type="fixed"/>
        <w:tblLook w:firstRow="1" w:lastRow="0" w:firstColumn="0" w:lastColumn="0" w:noHBand="0" w:noVBand="0" w:val="0020"/>
        <w:tblCaption w:val="Table 3: Opportunity Scorecard, ranked by skill fit, accessibility, and employer signal"/>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p>
      <w:pPr>
        <w:pStyle w:val="TableCaption"/>
      </w:pPr>
      <w:r>
        <w:rPr>
          <w:b/>
          <w:bCs/>
        </w:rPr>
        <w:t xml:space="preserve">Table 4:</w:t>
      </w:r>
      <w:r>
        <w:t xml:space="preserve"> </w:t>
      </w:r>
      <w:r>
        <w:t xml:space="preserve">Scoring model diagnostics: component ranges and rank correlation with Opportunity Score</w:t>
      </w:r>
    </w:p>
    <w:tbl>
      <w:tblPr>
        <w:tblStyle w:val="Table"/>
        <w:tblW w:type="pct" w:w="5000"/>
        <w:tblLayout w:type="fixed"/>
        <w:tblLook w:firstRow="1" w:lastRow="0" w:firstColumn="0" w:lastColumn="0" w:noHBand="0" w:noVBand="0" w:val="0020"/>
        <w:tblCaption w:val="Table 4: Scoring model diagnostics: component ranges and rank correlation with Opportunity Score"/>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Start w:id="48" w:name="does-the-score-predict-pay"/>
    <w:p>
      <w:pPr>
        <w:pStyle w:val="Heading2"/>
      </w:pPr>
      <w:r>
        <w:t xml:space="preserve">6.1 Does the Score Predict Pay?</w:t>
      </w:r>
    </w:p>
    <w:p>
      <w:pPr>
        <w:pStyle w:val="FirstParagraph"/>
      </w:pPr>
      <w:r>
        <w:t xml:space="preserve">The correlations above show how each component relates to the final Opportunity Score. A separate question is whether those same components relate to actual advertised pay. We fit a simple linear regression predicting salary midpoint from the three scorecard components. Only 4 of our 19 postings listed an actual salary; the other 15 were filled with the sample median during data cleaning, so this regression does not have 19 independent salary observations, it has 4 real ones and 15 copies of the same imputed value. Treat the results below as illustrative of the method, not as a real pay-prediction signal.</w:t>
      </w:r>
    </w:p>
    <w:p>
      <w:pPr>
        <w:pStyle w:val="TableCaption"/>
      </w:pPr>
      <w:r>
        <w:rPr>
          <w:b/>
          <w:bCs/>
        </w:rPr>
        <w:t xml:space="preserve">Table 5:</w:t>
      </w:r>
      <w:r>
        <w:t xml:space="preserve"> </w:t>
      </w:r>
      <w:r>
        <w:t xml:space="preserve">Linear regression of salary midpoint on scorecard components</w:t>
      </w:r>
    </w:p>
    <w:tbl>
      <w:tblPr>
        <w:tblStyle w:val="Table"/>
        <w:tblW w:type="pct" w:w="5000"/>
        <w:tblLayout w:type="fixed"/>
        <w:tblLook w:firstRow="1" w:lastRow="0" w:firstColumn="0" w:lastColumn="0" w:noHBand="0" w:noVBand="0" w:val="0020"/>
        <w:tblCaption w:val="Table 5: Linear regression of salary midpoint on scorecard components"/>
      </w:tblPr>
      <w:tblGrid>
        <w:gridCol w:w="2217"/>
        <w:gridCol w:w="1900"/>
        <w:gridCol w:w="1900"/>
        <w:gridCol w:w="1900"/>
      </w:tblGrid>
      <w:tr>
        <w:trPr>
          <w:tblHeader w:val="on"/>
        </w:trPr>
        <w:tc>
          <w:tcPr/>
          <w:p>
            <w:pPr>
              <w:pStyle w:val="Compact"/>
            </w:pPr>
            <w:r>
              <w:t xml:space="preserve">Term</w:t>
            </w:r>
          </w:p>
        </w:tc>
        <w:tc>
          <w:tcPr/>
          <w:p>
            <w:pPr>
              <w:pStyle w:val="Compact"/>
            </w:pPr>
            <w:r>
              <w:t xml:space="preserve">Coefficient</w:t>
            </w:r>
          </w:p>
        </w:tc>
        <w:tc>
          <w:tcPr/>
          <w:p>
            <w:pPr>
              <w:pStyle w:val="Compact"/>
            </w:pPr>
            <w:r>
              <w:t xml:space="preserve">Std. Error</w:t>
            </w:r>
          </w:p>
        </w:tc>
        <w:tc>
          <w:tcPr/>
          <w:p>
            <w:pPr>
              <w:pStyle w:val="Compact"/>
            </w:pPr>
            <w:r>
              <w:t xml:space="preserve">p-value</w:t>
            </w:r>
          </w:p>
        </w:tc>
      </w:tr>
      <w:tr>
        <w:tc>
          <w:tcPr/>
          <w:p>
            <w:pPr>
              <w:pStyle w:val="Compact"/>
            </w:pPr>
            <w:r>
              <w:t xml:space="preserve">Intercept</w:t>
            </w:r>
          </w:p>
        </w:tc>
        <w:tc>
          <w:tcPr/>
          <w:p>
            <w:pPr>
              <w:pStyle w:val="Compact"/>
            </w:pPr>
            <w:r>
              <w:t xml:space="preserve">111,300</w:t>
            </w:r>
          </w:p>
        </w:tc>
        <w:tc>
          <w:tcPr/>
          <w:p>
            <w:pPr>
              <w:pStyle w:val="Compact"/>
            </w:pPr>
            <w:r>
              <w:t xml:space="preserve">8,379</w:t>
            </w:r>
          </w:p>
        </w:tc>
        <w:tc>
          <w:tcPr/>
          <w:p>
            <w:pPr>
              <w:pStyle w:val="Compact"/>
            </w:pPr>
            <w:r>
              <w:t xml:space="preserve">&lt;0.001</w:t>
            </w:r>
          </w:p>
        </w:tc>
      </w:tr>
      <w:tr>
        <w:tc>
          <w:tcPr/>
          <w:p>
            <w:pPr>
              <w:pStyle w:val="Compact"/>
            </w:pPr>
            <w:r>
              <w:t xml:space="preserve">Skill Fit</w:t>
            </w:r>
          </w:p>
        </w:tc>
        <w:tc>
          <w:tcPr/>
          <w:p>
            <w:pPr>
              <w:pStyle w:val="Compact"/>
            </w:pPr>
            <w:r>
              <w:t xml:space="preserve">806</w:t>
            </w:r>
          </w:p>
        </w:tc>
        <w:tc>
          <w:tcPr/>
          <w:p>
            <w:pPr>
              <w:pStyle w:val="Compact"/>
            </w:pPr>
            <w:r>
              <w:t xml:space="preserve">1,834</w:t>
            </w:r>
          </w:p>
        </w:tc>
        <w:tc>
          <w:tcPr/>
          <w:p>
            <w:pPr>
              <w:pStyle w:val="Compact"/>
            </w:pPr>
            <w:r>
              <w:t xml:space="preserve">0.666</w:t>
            </w:r>
          </w:p>
        </w:tc>
      </w:tr>
      <w:tr>
        <w:tc>
          <w:tcPr/>
          <w:p>
            <w:pPr>
              <w:pStyle w:val="Compact"/>
            </w:pPr>
            <w:r>
              <w:t xml:space="preserve">Accessibility</w:t>
            </w:r>
          </w:p>
        </w:tc>
        <w:tc>
          <w:tcPr/>
          <w:p>
            <w:pPr>
              <w:pStyle w:val="Compact"/>
            </w:pPr>
            <w:r>
              <w:t xml:space="preserve">226</w:t>
            </w:r>
          </w:p>
        </w:tc>
        <w:tc>
          <w:tcPr/>
          <w:p>
            <w:pPr>
              <w:pStyle w:val="Compact"/>
            </w:pPr>
            <w:r>
              <w:t xml:space="preserve">2,366</w:t>
            </w:r>
          </w:p>
        </w:tc>
        <w:tc>
          <w:tcPr/>
          <w:p>
            <w:pPr>
              <w:pStyle w:val="Compact"/>
            </w:pPr>
            <w:r>
              <w:t xml:space="preserve">0.925</w:t>
            </w:r>
          </w:p>
        </w:tc>
      </w:tr>
      <w:tr>
        <w:tc>
          <w:tcPr/>
          <w:p>
            <w:pPr>
              <w:pStyle w:val="Compact"/>
            </w:pPr>
            <w:r>
              <w:t xml:space="preserve">Employer Signal</w:t>
            </w:r>
          </w:p>
        </w:tc>
        <w:tc>
          <w:tcPr/>
          <w:p>
            <w:pPr>
              <w:pStyle w:val="Compact"/>
            </w:pPr>
            <w:r>
              <w:t xml:space="preserve">-238</w:t>
            </w:r>
          </w:p>
        </w:tc>
        <w:tc>
          <w:tcPr/>
          <w:p>
            <w:pPr>
              <w:pStyle w:val="Compact"/>
            </w:pPr>
            <w:r>
              <w:t xml:space="preserve">954</w:t>
            </w:r>
          </w:p>
        </w:tc>
        <w:tc>
          <w:tcPr/>
          <w:p>
            <w:pPr>
              <w:pStyle w:val="Compact"/>
            </w:pPr>
            <w:r>
              <w:t xml:space="preserve">0.806</w:t>
            </w:r>
          </w:p>
        </w:tc>
      </w:tr>
    </w:tbl>
    <w:p>
      <w:pPr>
        <w:pStyle w:val="BodyText"/>
      </w:pPr>
      <w:r>
        <w:t xml:space="preserve">The model explains about 2 percent of the variation in salary midpoint across our sample (R-squared = 0.017), a figure driven mostly by how the three predictors happen to relate to the repeated median value rather than genuine pay variation. None of the three components reach standard statistical significance at this sample size: skill fit and accessibility are both weakly positive, while employer signal is weakly negative, the opposite direction from its strong positive correlation with the Opportunity Score itself. That mismatch is further evidence the regression is reacting to noise from the imputed values rather than a real pay relationship. A real test of this question would need a larger sample with actual reported salaries, not an imputed one.</w:t>
      </w:r>
    </w:p>
    <w:bookmarkEnd w:id="48"/>
    <w:bookmarkEnd w:id="49"/>
    <w:bookmarkStart w:id="51" w:name="recommendations"/>
    <w:p>
      <w:pPr>
        <w:pStyle w:val="Heading1"/>
      </w:pPr>
      <w:r>
        <w:t xml:space="preserve">7. Recommendations</w:t>
      </w:r>
    </w:p>
    <w:p>
      <w:pPr>
        <w:pStyle w:val="FirstParagraph"/>
      </w:pPr>
      <w:r>
        <w:t xml:space="preserve">Given this dataset and our Opportunity Scorecard (Table 3), we recommend students focus their job search on Vuori and TJX, as they had multiple analytics-adjacent postings and dominate the top employers in Market Baseline (Figure 2), making them the most attainable by volume. Adidas ranked third in posting volume, with positions relying more on skill fit rather than application volume. For location, students have the best chance of finding opportunities in California, Massachusetts, and New York, consistent with the state-level concentration in Market Baseline (Figure 3). Students should also focus on developing their Power BI and SQL skills, as they are the most in-demand skills (Figure 7) and the two largest gaps in the Skill Gap Summary (Table 2) and gap chart (Figure 10).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Start w:id="50" w:name="how-to-use-this-product-going-forward"/>
    <w:p>
      <w:pPr>
        <w:pStyle w:val="Heading2"/>
      </w:pPr>
      <w:r>
        <w:t xml:space="preserve">7.1 How to Use This Product Going Forward</w:t>
      </w:r>
    </w:p>
    <w:p>
      <w:pPr>
        <w:pStyle w:val="Compact"/>
        <w:numPr>
          <w:ilvl w:val="0"/>
          <w:numId w:val="1001"/>
        </w:numPr>
      </w:pPr>
      <w:r>
        <w:t xml:space="preserve">Re-run the Opportunity Scorecard as new postings come in, since employer signal and skill demand can shift as hiring continues.</w:t>
      </w:r>
    </w:p>
    <w:p>
      <w:pPr>
        <w:pStyle w:val="Compact"/>
        <w:numPr>
          <w:ilvl w:val="0"/>
          <w:numId w:val="1001"/>
        </w:numPr>
      </w:pPr>
      <w:r>
        <w:t xml:space="preserve">Treat the Opportunity Score as a starting point, not a verdict, since it has not been checked against real hiring outcomes. The diagnostics (Table 4) show employer signal drives the ranking more than skill fit or accessibility, and the salary regression (Table 5) found none of the three components reach statistical significance at this sample size, so its three components should be read individually rather than only as one combined number.</w:t>
      </w:r>
    </w:p>
    <w:p>
      <w:pPr>
        <w:pStyle w:val="Compact"/>
        <w:numPr>
          <w:ilvl w:val="0"/>
          <w:numId w:val="1001"/>
        </w:numPr>
      </w:pPr>
      <w:r>
        <w:t xml:space="preserve">Use the skill priorities above, Power BI, then SQL, then Python, to guide coursework and self-study for the rest of the semester, since those are the skills most likely to move a posting from low-scoring to high-scoring.</w:t>
      </w:r>
    </w:p>
    <w:bookmarkEnd w:id="50"/>
    <w:bookmarkEnd w:id="51"/>
    <w:bookmarkStart w:id="52"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The salary regression in Final Analytics (Table 5) reflects this same limitation: with only 4 real salary values and 15 median-imputed ones, it is exploratory, not a reliable predictive tool. Lastly, the scorecard’s equal weighting of skill fit, accessibility, and employer signal is a modeling choice, not a validated weighting scheme.</w:t>
      </w:r>
    </w:p>
    <w:bookmarkEnd w:id="52"/>
    <w:bookmarkStart w:id="53" w:name="team-contributions"/>
    <w:p>
      <w:pPr>
        <w:pStyle w:val="Heading1"/>
      </w:pPr>
      <w:r>
        <w:t xml:space="preserve">9. Team Contributions</w:t>
      </w:r>
    </w:p>
    <w:p>
      <w:pPr>
        <w:pStyle w:val="FirstParagraph"/>
      </w:pPr>
      <w:r>
        <w:t xml:space="preserve">This project was built through close, ongoing collaboration rather than a strict division by task. The team met regularly throughout the semester to assign that week’s work, review each other’s pages before merging, and keep the site consistent in tone and structure from page to page. Work rotated across data preparation, analysis, and website development rather than being owned by a single person in any one area, so every team member can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 rotating across sections with the team throughout the semester</w:t>
            </w:r>
          </w:p>
        </w:tc>
      </w:tr>
      <w:tr>
        <w:tc>
          <w:tcPr/>
          <w:p>
            <w:pPr>
              <w:pStyle w:val="Compact"/>
            </w:pPr>
            <w:r>
              <w:t xml:space="preserve">Ankita Roy</w:t>
            </w:r>
          </w:p>
        </w:tc>
        <w:tc>
          <w:tcPr/>
          <w:p>
            <w:pPr>
              <w:pStyle w:val="Compact"/>
            </w:pPr>
            <w:r>
              <w:t xml:space="preserve">Data preparation, analysis, and website development, rotating across sections with the team throughout the semester</w:t>
            </w:r>
          </w:p>
        </w:tc>
      </w:tr>
      <w:tr>
        <w:tc>
          <w:tcPr/>
          <w:p>
            <w:pPr>
              <w:pStyle w:val="Compact"/>
            </w:pPr>
            <w:r>
              <w:t xml:space="preserve">Zechariah Schweitzer</w:t>
            </w:r>
          </w:p>
        </w:tc>
        <w:tc>
          <w:tcPr/>
          <w:p>
            <w:pPr>
              <w:pStyle w:val="Compact"/>
            </w:pPr>
            <w:r>
              <w:t xml:space="preserve">Data preparation, analysis, and website development, rotating across sections with the team throughout the semester</w:t>
            </w:r>
          </w:p>
        </w:tc>
      </w:tr>
      <w:tr>
        <w:tc>
          <w:tcPr/>
          <w:p>
            <w:pPr>
              <w:pStyle w:val="Compact"/>
            </w:pPr>
            <w:r>
              <w:t xml:space="preserve">Sara Scribner</w:t>
            </w:r>
          </w:p>
        </w:tc>
        <w:tc>
          <w:tcPr/>
          <w:p>
            <w:pPr>
              <w:pStyle w:val="Compact"/>
            </w:pPr>
            <w:r>
              <w:t xml:space="preserve">Data preparation, analysis, and website development, rotating across sections with the team throughout the semester</w:t>
            </w:r>
          </w:p>
        </w:tc>
      </w:tr>
    </w:tbl>
    <w:bookmarkEnd w:id="53"/>
    <w:bookmarkStart w:id="73" w:name="references"/>
    <w:p>
      <w:pPr>
        <w:pStyle w:val="Heading1"/>
      </w:pPr>
      <w:r>
        <w:t xml:space="preserve">References</w:t>
      </w:r>
    </w:p>
    <w:bookmarkStart w:id="72" w:name="refs"/>
    <w:bookmarkStart w:id="55" w:name="ref-alshameri2025"/>
    <w:p>
      <w:pPr>
        <w:pStyle w:val="Bibliography"/>
      </w:pPr>
      <w:r>
        <w:t xml:space="preserve">Alshameri, F., &amp; Adhikari, A. (2025). A content analysis of business job advertisements using data mining techniques.</w:t>
      </w:r>
      <w:r>
        <w:t xml:space="preserve"> </w:t>
      </w:r>
      <w:r>
        <w:rPr>
          <w:i/>
          <w:iCs/>
        </w:rPr>
        <w:t xml:space="preserve">Journal of Information Systems Education</w:t>
      </w:r>
      <w:r>
        <w:t xml:space="preserve">,</w:t>
      </w:r>
      <w:r>
        <w:t xml:space="preserve"> </w:t>
      </w:r>
      <w:r>
        <w:rPr>
          <w:i/>
          <w:iCs/>
        </w:rPr>
        <w:t xml:space="preserve">36</w:t>
      </w:r>
      <w:r>
        <w:t xml:space="preserve">(3), 316–330.</w:t>
      </w:r>
      <w:r>
        <w:t xml:space="preserve"> </w:t>
      </w:r>
      <w:hyperlink r:id="rId54">
        <w:r>
          <w:rPr>
            <w:rStyle w:val="Hyperlink"/>
          </w:rPr>
          <w:t xml:space="preserve">https://aisel.aisnet.org/cgi/viewcontent.cgi?article=2097&amp;context=jise</w:t>
        </w:r>
      </w:hyperlink>
    </w:p>
    <w:bookmarkEnd w:id="55"/>
    <w:bookmarkStart w:id="57" w:name="ref-debortoli2014"/>
    <w:p>
      <w:pPr>
        <w:pStyle w:val="Bibliography"/>
      </w:pPr>
      <w:r>
        <w:t xml:space="preserve">Debortoli, S., Müller, O., &amp; Brocke, J. vom. (2014). Comparing business intelligence and big data skills: A text mining study using job advertisements.</w:t>
      </w:r>
      <w:r>
        <w:t xml:space="preserve"> </w:t>
      </w:r>
      <w:r>
        <w:rPr>
          <w:i/>
          <w:iCs/>
        </w:rPr>
        <w:t xml:space="preserve">Business and Information Systems Engineering</w:t>
      </w:r>
      <w:r>
        <w:t xml:space="preserve">.</w:t>
      </w:r>
      <w:r>
        <w:t xml:space="preserve"> </w:t>
      </w:r>
      <w:hyperlink r:id="rId56">
        <w:r>
          <w:rPr>
            <w:rStyle w:val="Hyperlink"/>
          </w:rPr>
          <w:t xml:space="preserve">https://www.researchgate.net/publication/262150370_Comparing_Business_Intelligence_and_Big_Data_Skills_A_Text_Mining_Study_Using_Job_Advertisements</w:t>
        </w:r>
      </w:hyperlink>
    </w:p>
    <w:bookmarkEnd w:id="57"/>
    <w:bookmarkStart w:id="59" w:name="ref-ibisworld2025"/>
    <w:p>
      <w:pPr>
        <w:pStyle w:val="Bibliography"/>
      </w:pPr>
      <w:r>
        <w:t xml:space="preserve">IBISWorld. (2025).</w:t>
      </w:r>
      <w:r>
        <w:t xml:space="preserve"> </w:t>
      </w:r>
      <w:r>
        <w:rPr>
          <w:i/>
          <w:iCs/>
        </w:rPr>
        <w:t xml:space="preserve">Clothing and clothing accessory retailers in the US</w:t>
      </w:r>
      <w:r>
        <w:t xml:space="preserve">.</w:t>
      </w:r>
      <w:r>
        <w:t xml:space="preserve"> </w:t>
      </w:r>
      <w:hyperlink r:id="rId58">
        <w:r>
          <w:rPr>
            <w:rStyle w:val="Hyperlink"/>
          </w:rPr>
          <w:t xml:space="preserve">https://www.ibisworld.com/united-states/industry/clothing-and-clothing-accessory-retailers/2048/</w:t>
        </w:r>
      </w:hyperlink>
    </w:p>
    <w:bookmarkEnd w:id="59"/>
    <w:bookmarkStart w:id="61"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60">
        <w:r>
          <w:rPr>
            <w:rStyle w:val="Hyperlink"/>
          </w:rPr>
          <w:t xml:space="preserve">https://medcraveonline.com/JTEFT/the-roles-of-data-analytics-in-the-fashion-industry.html</w:t>
        </w:r>
      </w:hyperlink>
    </w:p>
    <w:bookmarkEnd w:id="61"/>
    <w:bookmarkStart w:id="63" w:name="ref-planetgroup2025"/>
    <w:p>
      <w:pPr>
        <w:pStyle w:val="Bibliography"/>
      </w:pPr>
      <w:r>
        <w:t xml:space="preserve">The Planet Group. (2025).</w:t>
      </w:r>
      <w:r>
        <w:t xml:space="preserve"> </w:t>
      </w:r>
      <w:r>
        <w:rPr>
          <w:i/>
          <w:iCs/>
        </w:rPr>
        <w:t xml:space="preserve">Retail workforce report 2025</w:t>
      </w:r>
      <w:r>
        <w:t xml:space="preserve">.</w:t>
      </w:r>
      <w:r>
        <w:t xml:space="preserve"> </w:t>
      </w:r>
      <w:hyperlink r:id="rId62">
        <w:r>
          <w:rPr>
            <w:rStyle w:val="Hyperlink"/>
          </w:rPr>
          <w:t xml:space="preserve">https://www.theplanetgroup.com/job-reports/retail-jobs-report-2025</w:t>
        </w:r>
      </w:hyperlink>
    </w:p>
    <w:bookmarkEnd w:id="63"/>
    <w:bookmarkStart w:id="65" w:name="ref-umamaheswaran2023"/>
    <w:p>
      <w:pPr>
        <w:pStyle w:val="Bibliography"/>
      </w:pPr>
      <w:r>
        <w:t xml:space="preserve">Umamaheswaran, S., Fernandes, S., Venkatesh, V. G., Avula, N., &amp; Shi, Y. (2023). What do employers look for in "business analytics" roles? – a skill mining analysis.</w:t>
      </w:r>
      <w:r>
        <w:t xml:space="preserve"> </w:t>
      </w:r>
      <w:r>
        <w:rPr>
          <w:i/>
          <w:iCs/>
        </w:rPr>
        <w:t xml:space="preserve">Information Systems Frontiers</w:t>
      </w:r>
      <w:r>
        <w:t xml:space="preserve">.</w:t>
      </w:r>
      <w:r>
        <w:t xml:space="preserve"> </w:t>
      </w:r>
      <w:hyperlink r:id="rId64">
        <w:r>
          <w:rPr>
            <w:rStyle w:val="Hyperlink"/>
          </w:rPr>
          <w:t xml:space="preserve">https://doi.org/10.1007/s10796-023-10437-y</w:t>
        </w:r>
      </w:hyperlink>
    </w:p>
    <w:bookmarkEnd w:id="65"/>
    <w:bookmarkStart w:id="67"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66">
        <w:r>
          <w:rPr>
            <w:rStyle w:val="Hyperlink"/>
          </w:rPr>
          <w:t xml:space="preserve">https://www.bls.gov/ooh/business-and-financial/market-research-analysts.htm</w:t>
        </w:r>
      </w:hyperlink>
    </w:p>
    <w:bookmarkEnd w:id="67"/>
    <w:bookmarkStart w:id="69"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68">
        <w:r>
          <w:rPr>
            <w:rStyle w:val="Hyperlink"/>
          </w:rPr>
          <w:t xml:space="preserve">https://www.ziprecruiter.com/Jobs/Retail-Data-Analyst-Remote</w:t>
        </w:r>
      </w:hyperlink>
    </w:p>
    <w:bookmarkEnd w:id="69"/>
    <w:bookmarkStart w:id="71"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70">
        <w:r>
          <w:rPr>
            <w:rStyle w:val="Hyperlink"/>
          </w:rPr>
          <w:t xml:space="preserve">https://www.ziprecruiter.com/Jobs/Work-From-Home-Retail-Analyst</w:t>
        </w:r>
      </w:hyperlink>
    </w:p>
    <w:bookmarkEnd w:id="71"/>
    <w:bookmarkEnd w:id="72"/>
    <w:bookmarkEnd w:id="73"/>
    <w:bookmarkStart w:id="74" w:name="appendix-ai-use-disclosure"/>
    <w:p>
      <w:pPr>
        <w:pStyle w:val="Heading1"/>
      </w:pPr>
      <w:r>
        <w:t xml:space="preserve">10. Appendix: AI Use Disclosure</w:t>
      </w:r>
    </w:p>
    <w:p>
      <w:pPr>
        <w:pStyle w:val="FirstParagraph"/>
      </w:pPr>
      <w:r>
        <w:t xml:space="preserve">In compliance with course guidelines, our team discloses that we used generative AI tools, including Claude and ChatGPT, throughout this project. We used these tools as a tutor and collaborator: to explain unfamiliar functions and statistical concepts, help debug code, brainstorm approaches, draft and revise written sections, and review our analysis for errors and gaps. All final analysis, writing, and conclusions were reviewed and approved by the team.</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17" Target="media/rId17.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2026-10-11T13:10:54Z</dcterms:created>
  <dcterms:modified xsi:type="dcterms:W3CDTF">2026-10-11T13:10:54Z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bl-cap-location">
    <vt:lpwstr>top</vt:lpwstr>
  </property>
  <property fmtid="{D5CDD505-2E9C-101B-9397-08002B2CF9AE}" pid="14" name="toc-title">
    <vt:lpwstr>Table of contents</vt:lpwstr>
  </property>
</Properties>
</file>