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20.png" ContentType="image/png"/>
  <Override PartName="/word/media/rId23.png" ContentType="image/png"/>
  <Override PartName="/word/media/rId26.png" ContentType="image/png"/>
  <Override PartName="/word/media/rId17.png" ContentType="image/png"/>
  <Override PartName="/word/media/rId43.png" ContentType="image/png"/>
  <Override PartName="/word/media/rId4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p>
      <w:pPr>
        <w:pStyle w:val="FirstParagraph"/>
      </w:pPr>
      <w:r>
        <w:rPr>
          <w:b/>
          <w:bCs/>
        </w:rPr>
        <w:t xml:space="preserve">Project website:</w:t>
      </w:r>
      <w:r>
        <w:t xml:space="preserve"> </w:t>
      </w:r>
      <w:hyperlink r:id="rId9">
        <w:r>
          <w:rPr>
            <w:rStyle w:val="Hyperlink"/>
          </w:rPr>
          <w:t xml:space="preserve">https://zechnschweitzer.github.io/ad688-fashion-apparel-evaluation-group7/</w:t>
        </w:r>
      </w:hyperlink>
      <w:r>
        <w:br/>
      </w:r>
      <w:r>
        <w:rPr>
          <w:b/>
          <w:bCs/>
        </w:rPr>
        <w:t xml:space="preserve">GitHub repository:</w:t>
      </w:r>
      <w:r>
        <w:t xml:space="preserve"> </w:t>
      </w:r>
      <w:hyperlink r:id="rId10">
        <w:r>
          <w:rPr>
            <w:rStyle w:val="Hyperlink"/>
          </w:rPr>
          <w:t xml:space="preserve">https://github.com/zechnschweitzer/ad688-fashion-apparel-evaluation-group7</w:t>
        </w:r>
      </w:hyperlink>
    </w:p>
    <w:bookmarkStart w:id="11"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Clothing, Clothing Accessories, Shoes, and Jewelry Retailers.</w:t>
      </w:r>
    </w:p>
    <w:bookmarkEnd w:id="11"/>
    <w:bookmarkStart w:id="12"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p>
      <w:pPr>
        <w:pStyle w:val="TableCaption"/>
      </w:pPr>
      <w:r>
        <w:rPr>
          <w:b/>
          <w:bCs/>
        </w:rPr>
        <w:t xml:space="preserve">Table 1:</w:t>
      </w:r>
      <w:r>
        <w:t xml:space="preserve"> </w:t>
      </w:r>
      <w:r>
        <w:t xml:space="preserve">Filter funnel from raw dataset to final analytical sample</w:t>
      </w:r>
    </w:p>
    <w:tbl>
      <w:tblPr>
        <w:tblStyle w:val="Table"/>
        <w:tblW w:type="pct" w:w="5000"/>
        <w:tblLayout w:type="fixed"/>
        <w:tblLook w:firstRow="1" w:lastRow="0" w:firstColumn="0" w:lastColumn="0" w:noHBand="0" w:noVBand="0" w:val="0020"/>
        <w:tblCaption w:val="Table 1: Filter funnel from raw dataset to final analytical sample"/>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2"/>
    <w:bookmarkStart w:id="32"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191000"/>
                    <wp:effectExtent b="0" l="0" r="0" t="0"/>
                    <wp:docPr descr="" title="" id="14" name="Picture"/>
                    <a:graphic>
                      <a:graphicData uri="http://schemas.openxmlformats.org/drawingml/2006/picture">
                        <pic:pic>
                          <pic:nvPicPr>
                            <pic:cNvPr descr="figures/market_baseline/job_volume_by_title.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rPr>
          <w:i/>
          <w:iCs/>
        </w:rPr>
        <w:t xml:space="preserve">Figure 1: Top job titles in the apparel analytics sample</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810000"/>
                    <wp:effectExtent b="0" l="0" r="0" t="0"/>
                    <wp:docPr descr="" title="" id="18" name="Picture"/>
                    <a:graphic>
                      <a:graphicData uri="http://schemas.openxmlformats.org/drawingml/2006/picture">
                        <pic:pic>
                          <pic:nvPicPr>
                            <pic:cNvPr descr="figures/market_baseline/top_employers.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rPr>
          <w:i/>
          <w:iCs/>
        </w:rPr>
        <w:t xml:space="preserve">Figure 2: Top employers in the selected market</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21" name="Picture"/>
                    <a:graphic>
                      <a:graphicData uri="http://schemas.openxmlformats.org/drawingml/2006/picture">
                        <pic:pic>
                          <pic:nvPicPr>
                            <pic:cNvPr descr="figures/market_baseline/location_pattern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rPr>
          <w:i/>
          <w:iCs/>
        </w:rPr>
        <w:t xml:space="preserve">Figure 3: Job postings by state</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200400"/>
                    <wp:effectExtent b="0" l="0" r="0" t="0"/>
                    <wp:docPr descr="" title="" id="24" name="Picture"/>
                    <a:graphic>
                      <a:graphicData uri="http://schemas.openxmlformats.org/drawingml/2006/picture">
                        <pic:pic>
                          <pic:nvPicPr>
                            <pic:cNvPr descr="figures/market_baseline/remote_onsite_patterns.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hyperlink>
          </w:p>
        </w:tc>
      </w:tr>
    </w:tbl>
    <w:p>
      <w:pPr>
        <w:pStyle w:val="ImageCaption"/>
      </w:pPr>
      <w:r>
        <w:t xml:space="preserve">Market Baseline-Remote vs Onsite</w:t>
      </w:r>
    </w:p>
    <w:p>
      <w:pPr>
        <w:pStyle w:val="BodyText"/>
      </w:pPr>
      <w:r>
        <w:rPr>
          <w:i/>
          <w:iCs/>
        </w:rPr>
        <w:t xml:space="preserve">Figure 4: Reported work arrangement</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267200"/>
                    <wp:effectExtent b="0" l="0" r="0" t="0"/>
                    <wp:docPr descr="" title="" id="27" name="Picture"/>
                    <a:graphic>
                      <a:graphicData uri="http://schemas.openxmlformats.org/drawingml/2006/picture">
                        <pic:pic>
                          <pic:nvPicPr>
                            <pic:cNvPr descr="figures/market_baseline/salary_distribution.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rPr>
          <w:i/>
          <w:iCs/>
        </w:rPr>
        <w:t xml:space="preserve">Figure 5: Observed salary ranges</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30" name="Picture"/>
                    <a:graphic>
                      <a:graphicData uri="http://schemas.openxmlformats.org/drawingml/2006/picture">
                        <pic:pic>
                          <pic:nvPicPr>
                            <pic:cNvPr descr="figures/market_baseline/experience_distribution.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rPr>
          <w:i/>
          <w:iCs/>
        </w:rPr>
        <w:t xml:space="preserve">Figure 6: Observed minimum experience requirements</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2"/>
    <w:bookmarkStart w:id="46"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w:t>
      </w:r>
      <w:r>
        <w:t xml:space="preserve"> </w:t>
      </w:r>
      <w:r>
        <w:t xml:space="preserve">“Target Level”</w:t>
      </w:r>
      <w:r>
        <w:t xml:space="preserve">.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p>
      <w:pPr>
        <w:pStyle w:val="TableCaption"/>
      </w:pPr>
      <w:r>
        <w:rPr>
          <w:b/>
          <w:bCs/>
        </w:rPr>
        <w:t xml:space="preserve">Table 2:</w:t>
      </w:r>
      <w:r>
        <w:t xml:space="preserve"> </w:t>
      </w:r>
      <w:r>
        <w:t xml:space="preserve">Skill gap summary: market demand, target level, team average, and priority</w:t>
      </w:r>
    </w:p>
    <w:tbl>
      <w:tblPr>
        <w:tblStyle w:val="Table"/>
        <w:tblW w:type="pct" w:w="5000"/>
        <w:tblLayout w:type="fixed"/>
        <w:tblLook w:firstRow="1" w:lastRow="0" w:firstColumn="0" w:lastColumn="0" w:noHBand="0" w:noVBand="0" w:val="0020"/>
        <w:tblCaption w:val="Table 2: Skill gap summary: market demand, target level, team average, and priority"/>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810000"/>
                    <wp:effectExtent b="0" l="0" r="0" t="0"/>
                    <wp:docPr descr="" title="" id="34" name="Picture"/>
                    <a:graphic>
                      <a:graphicData uri="http://schemas.openxmlformats.org/drawingml/2006/picture">
                        <pic:pic>
                          <pic:nvPicPr>
                            <pic:cNvPr descr="figures/skill_gap_analysis/top_skill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rPr>
          <w:i/>
          <w:iCs/>
        </w:rPr>
        <w:t xml:space="preserve">Figure 7: Most in-demand skills in apparel analytics postings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429000"/>
                    <wp:effectExtent b="0" l="0" r="0" t="0"/>
                    <wp:docPr descr="" title="" id="38" name="Picture"/>
                    <a:graphic>
                      <a:graphicData uri="http://schemas.openxmlformats.org/drawingml/2006/picture">
                        <pic:pic>
                          <pic:nvPicPr>
                            <pic:cNvPr descr="figures/skill_gap_analysis/team_skill_heatmap.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rPr>
          <w:i/>
          <w:iCs/>
        </w:rPr>
        <w:t xml:space="preserve">Figure 8: Team skill levels (1 = Beginner, 5 = Expert)</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1" name="Picture"/>
                    <a:graphic>
                      <a:graphicData uri="http://schemas.openxmlformats.org/drawingml/2006/picture">
                        <pic:pic>
                          <pic:nvPicPr>
                            <pic:cNvPr descr="figures/skill_gap_analysis/team_average_proficiency.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rPr>
          <w:i/>
          <w:iCs/>
        </w:rPr>
        <w:t xml:space="preserve">Figure 9: Average team proficiency by skill</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4" name="Picture"/>
                    <a:graphic>
                      <a:graphicData uri="http://schemas.openxmlformats.org/drawingml/2006/picture">
                        <pic:pic>
                          <pic:nvPicPr>
                            <pic:cNvPr descr="figures/skill_gap_analysis/skill_gap_diverging.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p>
      <w:pPr>
        <w:pStyle w:val="BodyText"/>
      </w:pPr>
      <w:r>
        <w:rPr>
          <w:i/>
          <w:iCs/>
        </w:rPr>
        <w:t xml:space="preserve">Figure 10: Skill gap, market target vs. team average</w:t>
      </w:r>
    </w:p>
    <w:bookmarkEnd w:id="46"/>
    <w:bookmarkStart w:id="47"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7"/>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p>
      <w:pPr>
        <w:pStyle w:val="TableCaption"/>
      </w:pPr>
      <w:r>
        <w:rPr>
          <w:b/>
          <w:bCs/>
        </w:rPr>
        <w:t xml:space="preserve">Table 3:</w:t>
      </w:r>
      <w:r>
        <w:t xml:space="preserve"> </w:t>
      </w:r>
      <w:r>
        <w:t xml:space="preserve">Opportunity Scorecard, ranked by skill fit, accessibility, and employer signal</w:t>
      </w:r>
    </w:p>
    <w:tbl>
      <w:tblPr>
        <w:tblStyle w:val="Table"/>
        <w:tblW w:type="pct" w:w="5000"/>
        <w:tblLayout w:type="fixed"/>
        <w:tblLook w:firstRow="1" w:lastRow="0" w:firstColumn="0" w:lastColumn="0" w:noHBand="0" w:noVBand="0" w:val="0020"/>
        <w:tblCaption w:val="Table 3: Opportunity Scorecard, ranked by skill fit, accessibility, and employer signal"/>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p>
      <w:pPr>
        <w:pStyle w:val="TableCaption"/>
      </w:pPr>
      <w:r>
        <w:rPr>
          <w:b/>
          <w:bCs/>
        </w:rPr>
        <w:t xml:space="preserve">Table 4:</w:t>
      </w:r>
      <w:r>
        <w:t xml:space="preserve"> </w:t>
      </w:r>
      <w:r>
        <w:t xml:space="preserve">Scoring model diagnostics: component ranges and rank correlation with Opportunity Score</w:t>
      </w:r>
    </w:p>
    <w:tbl>
      <w:tblPr>
        <w:tblStyle w:val="Table"/>
        <w:tblW w:type="pct" w:w="5000"/>
        <w:tblLayout w:type="fixed"/>
        <w:tblLook w:firstRow="1" w:lastRow="0" w:firstColumn="0" w:lastColumn="0" w:noHBand="0" w:noVBand="0" w:val="0020"/>
        <w:tblCaption w:val="Table 4: Scoring model diagnostics: component ranges and rank correlation with Opportunity Score"/>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Start w:id="48" w:name="does-the-score-predict-pay"/>
    <w:p>
      <w:pPr>
        <w:pStyle w:val="Heading2"/>
      </w:pPr>
      <w:r>
        <w:t xml:space="preserve">6.1 Does the Score Predict Pay?</w:t>
      </w:r>
    </w:p>
    <w:p>
      <w:pPr>
        <w:pStyle w:val="FirstParagraph"/>
      </w:pPr>
      <w:r>
        <w:t xml:space="preserve">The correlations above show how each component relates to the final Opportunity Score. A separate question is whether those same components relate to actual advertised pay. We fit a simple linear regression predicting salary midpoint from the three scorecard components. Only 4 of our 19 postings listed an actual salary; the other 15 were filled with the sample median during data cleaning, so this regression does not have 19 independent salary observations, it has 4 real ones and 15 copies of the same imputed value. Treat the results below as illustrative of the method, not as a real pay-prediction signal.</w:t>
      </w:r>
    </w:p>
    <w:p>
      <w:pPr>
        <w:pStyle w:val="TableCaption"/>
      </w:pPr>
      <w:r>
        <w:rPr>
          <w:b/>
          <w:bCs/>
        </w:rPr>
        <w:t xml:space="preserve">Table 5:</w:t>
      </w:r>
      <w:r>
        <w:t xml:space="preserve"> </w:t>
      </w:r>
      <w:r>
        <w:t xml:space="preserve">Linear regression of salary midpoint on scorecard components</w:t>
      </w:r>
    </w:p>
    <w:tbl>
      <w:tblPr>
        <w:tblStyle w:val="Table"/>
        <w:tblW w:type="pct" w:w="5000"/>
        <w:tblLayout w:type="fixed"/>
        <w:tblLook w:firstRow="1" w:lastRow="0" w:firstColumn="0" w:lastColumn="0" w:noHBand="0" w:noVBand="0" w:val="0020"/>
        <w:tblCaption w:val="Table 5: Linear regression of salary midpoint on scorecard components"/>
      </w:tblPr>
      <w:tblGrid>
        <w:gridCol w:w="2217"/>
        <w:gridCol w:w="1900"/>
        <w:gridCol w:w="1900"/>
        <w:gridCol w:w="190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p-value</w:t>
            </w:r>
          </w:p>
        </w:tc>
      </w:tr>
      <w:tr>
        <w:tc>
          <w:tcPr/>
          <w:p>
            <w:pPr>
              <w:pStyle w:val="Compact"/>
            </w:pPr>
            <w:r>
              <w:t xml:space="preserve">Intercept</w:t>
            </w:r>
          </w:p>
        </w:tc>
        <w:tc>
          <w:tcPr/>
          <w:p>
            <w:pPr>
              <w:pStyle w:val="Compact"/>
            </w:pPr>
            <w:r>
              <w:t xml:space="preserve">111,300</w:t>
            </w:r>
          </w:p>
        </w:tc>
        <w:tc>
          <w:tcPr/>
          <w:p>
            <w:pPr>
              <w:pStyle w:val="Compact"/>
            </w:pPr>
            <w:r>
              <w:t xml:space="preserve">8,379</w:t>
            </w:r>
          </w:p>
        </w:tc>
        <w:tc>
          <w:tcPr/>
          <w:p>
            <w:pPr>
              <w:pStyle w:val="Compact"/>
            </w:pPr>
            <w:r>
              <w:t xml:space="preserve">&lt;0.001</w:t>
            </w:r>
          </w:p>
        </w:tc>
      </w:tr>
      <w:tr>
        <w:tc>
          <w:tcPr/>
          <w:p>
            <w:pPr>
              <w:pStyle w:val="Compact"/>
            </w:pPr>
            <w:r>
              <w:t xml:space="preserve">Skill Fit</w:t>
            </w:r>
          </w:p>
        </w:tc>
        <w:tc>
          <w:tcPr/>
          <w:p>
            <w:pPr>
              <w:pStyle w:val="Compact"/>
            </w:pPr>
            <w:r>
              <w:t xml:space="preserve">806</w:t>
            </w:r>
          </w:p>
        </w:tc>
        <w:tc>
          <w:tcPr/>
          <w:p>
            <w:pPr>
              <w:pStyle w:val="Compact"/>
            </w:pPr>
            <w:r>
              <w:t xml:space="preserve">1,834</w:t>
            </w:r>
          </w:p>
        </w:tc>
        <w:tc>
          <w:tcPr/>
          <w:p>
            <w:pPr>
              <w:pStyle w:val="Compact"/>
            </w:pPr>
            <w:r>
              <w:t xml:space="preserve">0.666</w:t>
            </w:r>
          </w:p>
        </w:tc>
      </w:tr>
      <w:tr>
        <w:tc>
          <w:tcPr/>
          <w:p>
            <w:pPr>
              <w:pStyle w:val="Compact"/>
            </w:pPr>
            <w:r>
              <w:t xml:space="preserve">Accessibility</w:t>
            </w:r>
          </w:p>
        </w:tc>
        <w:tc>
          <w:tcPr/>
          <w:p>
            <w:pPr>
              <w:pStyle w:val="Compact"/>
            </w:pPr>
            <w:r>
              <w:t xml:space="preserve">226</w:t>
            </w:r>
          </w:p>
        </w:tc>
        <w:tc>
          <w:tcPr/>
          <w:p>
            <w:pPr>
              <w:pStyle w:val="Compact"/>
            </w:pPr>
            <w:r>
              <w:t xml:space="preserve">2,366</w:t>
            </w:r>
          </w:p>
        </w:tc>
        <w:tc>
          <w:tcPr/>
          <w:p>
            <w:pPr>
              <w:pStyle w:val="Compact"/>
            </w:pPr>
            <w:r>
              <w:t xml:space="preserve">0.925</w:t>
            </w:r>
          </w:p>
        </w:tc>
      </w:tr>
      <w:tr>
        <w:tc>
          <w:tcPr/>
          <w:p>
            <w:pPr>
              <w:pStyle w:val="Compact"/>
            </w:pPr>
            <w:r>
              <w:t xml:space="preserve">Employer Signal</w:t>
            </w:r>
          </w:p>
        </w:tc>
        <w:tc>
          <w:tcPr/>
          <w:p>
            <w:pPr>
              <w:pStyle w:val="Compact"/>
            </w:pPr>
            <w:r>
              <w:t xml:space="preserve">-238</w:t>
            </w:r>
          </w:p>
        </w:tc>
        <w:tc>
          <w:tcPr/>
          <w:p>
            <w:pPr>
              <w:pStyle w:val="Compact"/>
            </w:pPr>
            <w:r>
              <w:t xml:space="preserve">954</w:t>
            </w:r>
          </w:p>
        </w:tc>
        <w:tc>
          <w:tcPr/>
          <w:p>
            <w:pPr>
              <w:pStyle w:val="Compact"/>
            </w:pPr>
            <w:r>
              <w:t xml:space="preserve">0.806</w:t>
            </w:r>
          </w:p>
        </w:tc>
      </w:tr>
    </w:tbl>
    <w:p>
      <w:pPr>
        <w:pStyle w:val="BodyText"/>
      </w:pPr>
      <w:r>
        <w:t xml:space="preserve">The model explains about 2 percent of the variation in salary midpoint across our sample (R-squared = 0.017), a figure driven mostly by how the three predictors happen to relate to the repeated median value rather than genuine pay variation. None of the three components reach standard statistical significance at this sample size: skill fit and accessibility are both weakly positive, while employer signal is weakly negative, the opposite direction from its strong positive correlation with the Opportunity Score itself. That mismatch is further evidence the regression is reacting to noise from the imputed values rather than a real pay relationship. A real test of this question would need a larger sample with actual reported salaries, not an imputed one.</w:t>
      </w:r>
    </w:p>
    <w:bookmarkEnd w:id="48"/>
    <w:bookmarkEnd w:id="49"/>
    <w:bookmarkStart w:id="51" w:name="recommendations"/>
    <w:p>
      <w:pPr>
        <w:pStyle w:val="Heading1"/>
      </w:pPr>
      <w:r>
        <w:t xml:space="preserve">7. Recommendations</w:t>
      </w:r>
    </w:p>
    <w:p>
      <w:pPr>
        <w:pStyle w:val="FirstParagraph"/>
      </w:pPr>
      <w:r>
        <w:t xml:space="preserve">Given this dataset and our Opportunity Scorecard (Table 3), we recommend students focus their job search on Vuori and TJX, as they had multiple analytics-adjacent postings and dominate the top employers in Market Baseline (Figure 2), making them the most attainable by volume. Adidas ranked third in posting volume, with positions relying more on skill fit rather than application volume. For location, students have the best chance of finding opportunities in California, Massachusetts, and New York, consistent with the state-level concentration in Market Baseline (Figure 3). Students should also focus on developing their Power BI and SQL skills, as they are the most in-demand skills (Figure 7) and the two largest gaps in the Skill Gap Summary (Table 2) and gap chart (Figure 10).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The diagnostics (Table 4) show employer signal drives the ranking more than skill fit or accessibility, and the salary regression (Table 5) found none of the three components reach statistical significance at this sample size, so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The salary regression in Final Analytics (Table 5) reflects this same limitation: with only 4 real salary values and 15 median-imputed ones, it is exploratory, not a reliable predictive tool.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built through close, ongoing collaboration rather than a strict division by task. The team met regularly throughout the semester to assign that week’s work, review each other’s pages before merging, and keep the site consistent in tone and structure from page to page. Work rotated across data preparation, analysis, and website development rather than being owned by a single person in any one area, so every team member can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 rotating across sections with the team throughout the semester</w:t>
            </w:r>
          </w:p>
        </w:tc>
      </w:tr>
      <w:tr>
        <w:tc>
          <w:tcPr/>
          <w:p>
            <w:pPr>
              <w:pStyle w:val="Compact"/>
            </w:pPr>
            <w:r>
              <w:t xml:space="preserve">Ankita Roy</w:t>
            </w:r>
          </w:p>
        </w:tc>
        <w:tc>
          <w:tcPr/>
          <w:p>
            <w:pPr>
              <w:pStyle w:val="Compact"/>
            </w:pPr>
            <w:r>
              <w:t xml:space="preserve">Data preparation, analysis, and website development, rotating across sections with the team throughout the semester</w:t>
            </w:r>
          </w:p>
        </w:tc>
      </w:tr>
      <w:tr>
        <w:tc>
          <w:tcPr/>
          <w:p>
            <w:pPr>
              <w:pStyle w:val="Compact"/>
            </w:pPr>
            <w:r>
              <w:t xml:space="preserve">Zechariah Schweitzer</w:t>
            </w:r>
          </w:p>
        </w:tc>
        <w:tc>
          <w:tcPr/>
          <w:p>
            <w:pPr>
              <w:pStyle w:val="Compact"/>
            </w:pPr>
            <w:r>
              <w:t xml:space="preserve">Data preparation, analysis, and website development, rotating across sections with the team throughout the semester</w:t>
            </w:r>
          </w:p>
        </w:tc>
      </w:tr>
      <w:tr>
        <w:tc>
          <w:tcPr/>
          <w:p>
            <w:pPr>
              <w:pStyle w:val="Compact"/>
            </w:pPr>
            <w:r>
              <w:t xml:space="preserve">Sara Scribner</w:t>
            </w:r>
          </w:p>
        </w:tc>
        <w:tc>
          <w:tcPr/>
          <w:p>
            <w:pPr>
              <w:pStyle w:val="Compact"/>
            </w:pPr>
            <w:r>
              <w:t xml:space="preserve">Data preparation, analysis, and website development, rotating across sections with the team throughout the semester</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bookmarkStart w:id="74" w:name="appendix-ai-use-disclosure"/>
    <w:p>
      <w:pPr>
        <w:pStyle w:val="Heading1"/>
      </w:pPr>
      <w:r>
        <w:t xml:space="preserve">10. Appendix: AI Use Disclosure</w:t>
      </w:r>
    </w:p>
    <w:p>
      <w:pPr>
        <w:pStyle w:val="FirstParagraph"/>
      </w:pPr>
      <w:r>
        <w:t xml:space="preserve">In compliance with course guidelines, our team discloses that we used generative AI tools, including Claude and ChatGPT, throughout this project. We used these tools as a tutor and collaborator: to explain unfamiliar functions and statistical concepts, help debug code, brainstorm approaches, draft and revise written sections, and review our analysis for errors and gaps. All final analysis, writing, and conclusions were reviewed and approved by the team.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7" Target="media/rId17.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2026-10-11T00:42:29Z</dcterms:created>
  <dcterms:modified xsi:type="dcterms:W3CDTF">2026-10-11T00:42:29Z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