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1.png" ContentType="image/png"/>
  <Override PartName="/word/media/rId15.png" ContentType="image/png"/>
  <Override PartName="/word/media/rId30.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t xml:space="preserve">Our group developed a solution for students interested in entering the apparel and fashion industry and seeking analytics-related opportunities. Fashion retailers have leaned harder into data analytics in recent years</w:t>
      </w:r>
      <w:r>
        <w:t xml:space="preserve"> </w:t>
      </w:r>
      <w:r>
        <w:t xml:space="preserve">(Oh, 2020)</w:t>
      </w:r>
      <w:r>
        <w:t xml:space="preserve">, and the U.S. Bureau of Labor Statistics projects continued growth in analytics-related roles</w:t>
      </w:r>
      <w:r>
        <w:t xml:space="preserve"> </w:t>
      </w:r>
      <w:r>
        <w:t xml:space="preserve">(U.S. Bureau of Labor Statistics, 2025)</w:t>
      </w:r>
      <w:r>
        <w:t xml:space="preserve">.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1"/>
      </w:pPr>
      <w:r>
        <w:t xml:space="preserve">2. Scope and Data</w:t>
      </w:r>
    </w:p>
    <w:p>
      <w:pPr>
        <w:pStyle w:val="FirstParagraph"/>
      </w:pPr>
      <w:r>
        <w:t xml:space="preserve">Although the dataset included 504,208 job postings extracted from 21 parquet parts, only 19 were usable for this evaluation after combining the NAICS 458 filter with a list of known apparel and fashion employers and a role-title match,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bookmarkEnd w:id="10"/>
    <w:bookmarkStart w:id="21" w:name="market-baseline"/>
    <w:p>
      <w:pPr>
        <w:pStyle w:val="Heading1"/>
      </w:pPr>
      <w:r>
        <w:t xml:space="preserve">3. Market Baseline</w:t>
      </w:r>
    </w:p>
    <w:p>
      <w:pPr>
        <w:pStyle w:val="FirstParagraph"/>
      </w:pPr>
      <w:r>
        <w:t xml:space="preserve">The market baseline examines the apparel and fashion industry demand, salary, location, working arrangement, and required experience for the selected analytics market. Job title, employer, and location are available for all 19 postings, but experience data is usable for only 9 postings and salary and work arrangement data are usable for only 4 postings each, so those smaller findings should be read with more caution. Grouping the 19 postings by functional focus shows BI and data analytics roles make up the largest share at 6 postings, followed by marketing and customer analytics with 5, merchandising and ecommerce with 3, finance and strategy analytics and operations analytics with 2 each, and product or engineering analytics with 1. Job opportunities were also concentrated among a small number of employers: Vuori and TJX each account for 5 postings, Adidas accounts for 3, and Ralph Lauren accounts for 2, while Nordstrom, Foot Locker, Michaels, and Macy’s each contribute 1. Geographically, California and Massachusetts each account for 5 postings, followed by New York with 4 and Oregon with 3.</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2" name="Picture"/>
                    <a:graphic>
                      <a:graphicData uri="http://schemas.openxmlformats.org/drawingml/2006/picture">
                        <pic:pic>
                          <pic:nvPicPr>
                            <pic:cNvPr descr="figures/market_baseline/location_patterns.png" id="13" name="Picture"/>
                            <pic:cNvPicPr>
                              <a:picLocks noChangeArrowheads="1" noChangeAspect="1"/>
                            </pic:cNvPicPr>
                          </pic:nvPicPr>
                          <pic:blipFill>
                            <a:blip r:embed="rId11"/>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to 4 of the 19 postings, with a range of approximately $85,000 to $161,000. Work arrangement data was also limited to 4 postings: 3 are classified as hybrid and 1 as fully remote, and no posting in the sample is explicitly classified as onsite.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16" name="Picture"/>
                    <a:graphic>
                      <a:graphicData uri="http://schemas.openxmlformats.org/drawingml/2006/picture">
                        <pic:pic>
                          <pic:nvPicPr>
                            <pic:cNvPr descr="figures/market_baseline/salary_distribution.png" id="17" name="Picture"/>
                            <pic:cNvPicPr>
                              <a:picLocks noChangeArrowheads="1" noChangeAspect="1"/>
                            </pic:cNvPicPr>
                          </pic:nvPicPr>
                          <pic:blipFill>
                            <a:blip r:embed="rId15"/>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Minimum experience information is available for 9 of the 19 postings. Of those, 7 show a recorded minimum of 0 years and 2 show a minimum of 5 years, so most opportunities with a reported requirement do not require prior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19" name="Picture"/>
                    <a:graphic>
                      <a:graphicData uri="http://schemas.openxmlformats.org/drawingml/2006/picture">
                        <pic:pic>
                          <pic:nvPicPr>
                            <pic:cNvPr descr="figures/market_baseline/experience_distribution.png" id="20" name="Picture"/>
                            <pic:cNvPicPr>
                              <a:picLocks noChangeArrowheads="1" noChangeAspect="1"/>
                            </pic:cNvPicPr>
                          </pic:nvPicPr>
                          <pic:blipFill>
                            <a:blip r:embed="rId18"/>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21"/>
    <w:bookmarkStart w:id="29" w:name="skill-gap-analysis"/>
    <w:p>
      <w:pPr>
        <w:pStyle w:val="Heading1"/>
      </w:pPr>
      <w:r>
        <w:t xml:space="preserve">4. 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job postings. Excel and Python each appeared in 5 postings, although the team demonstrated stronger proficiency in Excel than Python.</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3810000"/>
                    <wp:effectExtent b="0" l="0" r="0" t="0"/>
                    <wp:docPr descr="" title="" id="23" name="Picture"/>
                    <a:graphic>
                      <a:graphicData uri="http://schemas.openxmlformats.org/drawingml/2006/picture">
                        <pic:pic>
                          <pic:nvPicPr>
                            <pic:cNvPr descr="figures/skill_gap_analysis/top_skills.png" id="24" name="Picture"/>
                            <pic:cNvPicPr>
                              <a:picLocks noChangeArrowheads="1" noChangeAspect="1"/>
                            </pic:cNvPicPr>
                          </pic:nvPicPr>
                          <pic:blipFill>
                            <a:blip r:embed="rId22"/>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The team rated itself strongest in Excel (4.25) and Data Analysis (4.0), and weakest in Power BI (2.75), Python (2.75), and Digital Marketing (2.75). Comparing these averages against market-based targets set Power BI (2.25 gap) and SQL (1.75 gap) as high priority, and Python and Digital Marketing as moderate priority. Excel, Stakeholder Management, Project Management, and Data Analysis all came back as low priority, since the team’s average proficiency already meets or exceeds the market-based target for each. Power BI is the most consistent gap across the team: every member rated it at 3 or below despite it tying for the highest market demand.</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2388911"/>
                    <wp:effectExtent b="0" l="0" r="0" t="0"/>
                    <wp:docPr descr="" title="" id="27" name="Picture"/>
                    <a:graphic>
                      <a:graphicData uri="http://schemas.openxmlformats.org/drawingml/2006/picture">
                        <pic:pic>
                          <pic:nvPicPr>
                            <pic:cNvPr descr="figures/skill_gap_analysis/skill_gap_summary.png" id="28" name="Picture"/>
                            <pic:cNvPicPr>
                              <a:picLocks noChangeArrowheads="1" noChangeAspect="1"/>
                            </pic:cNvPicPr>
                          </pic:nvPicPr>
                          <pic:blipFill>
                            <a:blip r:embed="rId26"/>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29"/>
    <w:bookmarkStart w:id="34" w:name="final-analytics"/>
    <w:p>
      <w:pPr>
        <w:pStyle w:val="Heading1"/>
      </w:pPr>
      <w:r>
        <w:t xml:space="preserve">5. 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FigureTable"/>
        <w:tblW w:type="auto" w:w="0"/>
        <w:jc w:val="center"/>
        <w:tblLook w:firstRow="0" w:lastRow="0" w:firstColumn="0" w:lastColumn="0"/>
      </w:tblPr>
      <w:tblGrid>
        <w:gridCol w:w="7920"/>
      </w:tblGrid>
      <w:tr>
        <w:tc>
          <w:tcPr/>
          <w:p>
            <w:pPr>
              <w:pStyle w:val="Compact"/>
              <w:jc w:val="center"/>
            </w:pPr>
            <w:hyperlink r:id="rId33">
              <w:r>
                <w:drawing>
                  <wp:inline>
                    <wp:extent cx="5334000" cy="3522251"/>
                    <wp:effectExtent b="0" l="0" r="0" t="0"/>
                    <wp:docPr descr="" title="" id="31" name="Picture"/>
                    <a:graphic>
                      <a:graphicData uri="http://schemas.openxmlformats.org/drawingml/2006/picture">
                        <pic:pic>
                          <pic:nvPicPr>
                            <pic:cNvPr descr="figures/opportunity_scorecard/opportunity_scorecard_assessment.png" id="32" name="Picture"/>
                            <pic:cNvPicPr>
                              <a:picLocks noChangeArrowheads="1" noChangeAspect="1"/>
                            </pic:cNvPicPr>
                          </pic:nvPicPr>
                          <pic:blipFill>
                            <a:blip r:embed="rId30"/>
                            <a:stretch>
                              <a:fillRect/>
                            </a:stretch>
                          </pic:blipFill>
                          <pic:spPr bwMode="auto">
                            <a:xfrm>
                              <a:off x="0" y="0"/>
                              <a:ext cx="5334000" cy="3522251"/>
                            </a:xfrm>
                            <a:prstGeom prst="rect">
                              <a:avLst/>
                            </a:prstGeom>
                            <a:noFill/>
                            <a:ln w="9525">
                              <a:noFill/>
                              <a:headEnd/>
                              <a:tailEnd/>
                            </a:ln>
                          </pic:spPr>
                        </pic:pic>
                      </a:graphicData>
                    </a:graphic>
                  </wp:inline>
                </w:drawing>
              </w:r>
            </w:hyperlink>
          </w:p>
        </w:tc>
      </w:tr>
    </w:tbl>
    <w:p>
      <w:pPr>
        <w:pStyle w:val="ImageCaption"/>
      </w:pPr>
      <w:r>
        <w:t xml:space="preserve">Final_Analytics-Assessment</w:t>
      </w:r>
    </w:p>
    <w:p>
      <w:pPr>
        <w:pStyle w:val="BodyText"/>
      </w:pPr>
      <w:r>
        <w:t xml:space="preserve">The scorecard provides an intuitive method for prioritizing opportunities based on the student’s current skill levels and the characteristics found in the job postings. To check the model’s internal consistency, we computed the rank correlation between each component and the final Opportunity Score. Employer signal correlates most strongly (0.87), skill fit correlates moderately (0.42), and accessibility correlates essentially not at all (-0.11), confirming that employer signal currently has more influence on the ranking than the other two components, since it is an uncapped raw count rather than a capped 0-to-3 or 0-to-4 score. With this in mind, and considering this is not a predictive model, the scorecard is best interpreted as a career prioritization tool rather than a precise ranking.</w:t>
      </w:r>
    </w:p>
    <w:bookmarkEnd w:id="34"/>
    <w:bookmarkStart w:id="35" w:name="recommendations"/>
    <w:p>
      <w:pPr>
        <w:pStyle w:val="Heading1"/>
      </w:pPr>
      <w:r>
        <w:t xml:space="preserve">6. 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opportunities in California, Massachusetts, and New York. Students should also focus on developing their Power BI and SQL skills, as they are the most in-demand skills. The third most important skill is Python, though less than half of these postings required it. By person, Alyssa and Ankita should complete a Power BI learning path before the Module 5 deadline, then move to SQL practice against our own filtered dataset. Sara should prioritize Power BI first given her lowest team rating on it, building on her existing Excel strength. Zech should focus on Power BI’s data modeling features, building on his existing SQL proficiency.</w:t>
      </w:r>
    </w:p>
    <w:bookmarkEnd w:id="35"/>
    <w:bookmarkStart w:id="36" w:name="limitations"/>
    <w:p>
      <w:pPr>
        <w:pStyle w:val="Heading1"/>
      </w:pPr>
      <w:r>
        <w:t xml:space="preserve">7. 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36"/>
    <w:bookmarkStart w:id="37" w:name="team-contributions"/>
    <w:p>
      <w:pPr>
        <w:pStyle w:val="Heading1"/>
      </w:pPr>
      <w:r>
        <w:t xml:space="preserve">8. Team Contributions</w:t>
      </w:r>
    </w:p>
    <w:p>
      <w:pPr>
        <w:pStyle w:val="FirstParagraph"/>
      </w:pPr>
      <w:r>
        <w:t xml:space="preserve">This project was a collaborative effort across all four team members. Each person contributed to data preparation, analysis, website development, and the final report, and the team connected regularly throughout the modules to divide tasks, review each other’s work, and keep the site consistent from page to page. All team members are able to speak to the full product, not just one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Alyssa Quigley</w:t>
            </w:r>
          </w:p>
        </w:tc>
        <w:tc>
          <w:tcPr/>
          <w:p>
            <w:pPr>
              <w:pStyle w:val="Compact"/>
            </w:pPr>
            <w:r>
              <w:t xml:space="preserve">Data preparation, analysis, and website development</w:t>
            </w:r>
          </w:p>
        </w:tc>
      </w:tr>
      <w:tr>
        <w:tc>
          <w:tcPr/>
          <w:p>
            <w:pPr>
              <w:pStyle w:val="Compact"/>
            </w:pPr>
            <w:r>
              <w:t xml:space="preserve">Ankita Roy</w:t>
            </w:r>
          </w:p>
        </w:tc>
        <w:tc>
          <w:tcPr/>
          <w:p>
            <w:pPr>
              <w:pStyle w:val="Compact"/>
            </w:pPr>
            <w:r>
              <w:t xml:space="preserve">Data preparation, analysis, and website development</w:t>
            </w:r>
          </w:p>
        </w:tc>
      </w:tr>
      <w:tr>
        <w:tc>
          <w:tcPr/>
          <w:p>
            <w:pPr>
              <w:pStyle w:val="Compact"/>
            </w:pPr>
            <w:r>
              <w:t xml:space="preserve">Zechariah Schweitzer</w:t>
            </w:r>
          </w:p>
        </w:tc>
        <w:tc>
          <w:tcPr/>
          <w:p>
            <w:pPr>
              <w:pStyle w:val="Compact"/>
            </w:pPr>
            <w:r>
              <w:t xml:space="preserve">Data preparation, analysis, and website development</w:t>
            </w:r>
          </w:p>
        </w:tc>
      </w:tr>
      <w:tr>
        <w:tc>
          <w:tcPr/>
          <w:p>
            <w:pPr>
              <w:pStyle w:val="Compact"/>
            </w:pPr>
            <w:r>
              <w:t xml:space="preserve">Sara Scribner</w:t>
            </w:r>
          </w:p>
        </w:tc>
        <w:tc>
          <w:tcPr/>
          <w:p>
            <w:pPr>
              <w:pStyle w:val="Compact"/>
            </w:pPr>
            <w:r>
              <w:t xml:space="preserve">Data preparation, analysis, and website development</w:t>
            </w:r>
          </w:p>
        </w:tc>
      </w:tr>
    </w:tbl>
    <w:bookmarkEnd w:id="37"/>
    <w:bookmarkStart w:id="43" w:name="references"/>
    <w:p>
      <w:pPr>
        <w:pStyle w:val="Heading1"/>
      </w:pPr>
      <w:r>
        <w:t xml:space="preserve">References</w:t>
      </w:r>
    </w:p>
    <w:bookmarkStart w:id="42" w:name="refs"/>
    <w:bookmarkStart w:id="39" w:name="ref-oh2020"/>
    <w:p>
      <w:pPr>
        <w:pStyle w:val="Bibliography"/>
      </w:pPr>
      <w:r>
        <w:t xml:space="preserve">Oh, K. (2020). The roles of data analytics in the fashion industry.</w:t>
      </w:r>
      <w:r>
        <w:t xml:space="preserve"> </w:t>
      </w:r>
      <w:r>
        <w:rPr>
          <w:i/>
          <w:iCs/>
        </w:rPr>
        <w:t xml:space="preserve">Journal of Textile Engineering and Fashion Technology</w:t>
      </w:r>
      <w:r>
        <w:t xml:space="preserve">,</w:t>
      </w:r>
      <w:r>
        <w:t xml:space="preserve"> </w:t>
      </w:r>
      <w:r>
        <w:rPr>
          <w:i/>
          <w:iCs/>
        </w:rPr>
        <w:t xml:space="preserve">6</w:t>
      </w:r>
      <w:r>
        <w:t xml:space="preserve">(3).</w:t>
      </w:r>
      <w:r>
        <w:t xml:space="preserve"> </w:t>
      </w:r>
      <w:hyperlink r:id="rId38">
        <w:r>
          <w:rPr>
            <w:rStyle w:val="Hyperlink"/>
          </w:rPr>
          <w:t xml:space="preserve">https://medcraveonline.com/JTEFT/the-roles-of-data-analytics-in-the-fashion-industry.html</w:t>
        </w:r>
      </w:hyperlink>
    </w:p>
    <w:bookmarkEnd w:id="39"/>
    <w:bookmarkStart w:id="41" w:name="ref-blsooh2025"/>
    <w:p>
      <w:pPr>
        <w:pStyle w:val="Bibliography"/>
      </w:pPr>
      <w:r>
        <w:t xml:space="preserve">U.S. Bureau of Labor Statistics. (2025).</w:t>
      </w:r>
      <w:r>
        <w:t xml:space="preserve"> </w:t>
      </w:r>
      <w:r>
        <w:rPr>
          <w:i/>
          <w:iCs/>
        </w:rPr>
        <w:t xml:space="preserve">Market research analysts: Occupational outlook handbook</w:t>
      </w:r>
      <w:r>
        <w:t xml:space="preserve">.</w:t>
      </w:r>
      <w:r>
        <w:t xml:space="preserve"> </w:t>
      </w:r>
      <w:hyperlink r:id="rId40">
        <w:r>
          <w:rPr>
            <w:rStyle w:val="Hyperlink"/>
          </w:rPr>
          <w:t xml:space="preserve">https://www.bls.gov/ooh/business-and-financial/market-research-analysts.htm</w:t>
        </w:r>
      </w:hyperlink>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38" Target="https://medcraveonline.com/JTEFT/the-roles-of-data-analytics-in-the-fashion-industry.html" TargetMode="External" /><Relationship Type="http://schemas.openxmlformats.org/officeDocument/2006/relationships/hyperlink" Id="rId40" Target="https://www.bls.gov/ooh/business-and-financial/market-research-analysts.htm" TargetMode="External" /><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38" Target="https://medcraveonline.com/JTEFT/the-roles-of-data-analytics-in-the-fashion-industry.html" TargetMode="External" /><Relationship Type="http://schemas.openxmlformats.org/officeDocument/2006/relationships/hyperlink" Id="rId40" Target="https://www.bls.gov/ooh/business-and-financial/market-research-analysts.htm" TargetMode="External" /><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2026-10-10T02:25:50Z</dcterms:created>
  <dcterms:modified xsi:type="dcterms:W3CDTF">2026-10-10T02:25:50Z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csl/apa.csl</vt:lpwstr>
  </property>
  <property fmtid="{D5CDD505-2E9C-101B-9397-08002B2CF9AE}" pid="7" name="date">
    <vt:lpwstr>2026-10-05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