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18.png" ContentType="image/png"/>
  <Override PartName="/word/media/rId21.png" ContentType="image/png"/>
  <Override PartName="/word/media/rId24.png" ContentType="image/png"/>
  <Override PartName="/word/media/rId15.png" ContentType="image/png"/>
  <Override PartName="/word/media/rId49.png" ContentType="image/png"/>
  <Override PartName="/word/media/rId41.png" ContentType="image/png"/>
  <Override PartName="/word/media/rId44.png" ContentType="image/png"/>
  <Override PartName="/word/media/rId38.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bookmarkEnd w:id="10"/>
    <w:bookmarkStart w:id="30"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The 19 postings cover a fairly wide mix of roles, including analyst, business intelligence, ecommerce, merchandise, and senior analytics positions, and most titles appear only once.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569982"/>
                    <wp:effectExtent b="0" l="0" r="0" t="0"/>
                    <wp:docPr descr="" title="" id="12" name="Picture"/>
                    <a:graphic>
                      <a:graphicData uri="http://schemas.openxmlformats.org/drawingml/2006/picture">
                        <pic:pic>
                          <pic:nvPicPr>
                            <pic:cNvPr descr="figures/market_baseline/job_volume_by_title.png" id="13" name="Picture"/>
                            <pic:cNvPicPr>
                              <a:picLocks noChangeArrowheads="1" noChangeAspect="1"/>
                            </pic:cNvPicPr>
                          </pic:nvPicPr>
                          <pic:blipFill>
                            <a:blip r:embed="rId11"/>
                            <a:stretch>
                              <a:fillRect/>
                            </a:stretch>
                          </pic:blipFill>
                          <pic:spPr bwMode="auto">
                            <a:xfrm>
                              <a:off x="0" y="0"/>
                              <a:ext cx="5334000" cy="3569982"/>
                            </a:xfrm>
                            <a:prstGeom prst="rect">
                              <a:avLst/>
                            </a:prstGeom>
                            <a:noFill/>
                            <a:ln w="9525">
                              <a:noFill/>
                              <a:headEnd/>
                              <a:tailEnd/>
                            </a:ln>
                          </pic:spPr>
                        </pic:pic>
                      </a:graphicData>
                    </a:graphic>
                  </wp:inline>
                </w:drawing>
              </w:r>
            </w:hyperlink>
          </w:p>
        </w:tc>
      </w:tr>
    </w:tbl>
    <w:p>
      <w:pPr>
        <w:pStyle w:val="ImageCaption"/>
      </w:pPr>
      <w:r>
        <w:t xml:space="preserve">Market Baseline-Job Titles</w:t>
      </w:r>
    </w:p>
    <w:p>
      <w:pPr>
        <w:pStyle w:val="BodyText"/>
      </w:pPr>
      <w:r>
        <w:t xml:space="preserve">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04677"/>
                    <wp:effectExtent b="0" l="0" r="0" t="0"/>
                    <wp:docPr descr="" title="" id="16" name="Picture"/>
                    <a:graphic>
                      <a:graphicData uri="http://schemas.openxmlformats.org/drawingml/2006/picture">
                        <pic:pic>
                          <pic:nvPicPr>
                            <pic:cNvPr descr="figures/market_baseline/top_employers.png" id="17" name="Picture"/>
                            <pic:cNvPicPr>
                              <a:picLocks noChangeArrowheads="1" noChangeAspect="1"/>
                            </pic:cNvPicPr>
                          </pic:nvPicPr>
                          <pic:blipFill>
                            <a:blip r:embed="rId15"/>
                            <a:stretch>
                              <a:fillRect/>
                            </a:stretch>
                          </pic:blipFill>
                          <pic:spPr bwMode="auto">
                            <a:xfrm>
                              <a:off x="0" y="0"/>
                              <a:ext cx="5334000" cy="3604677"/>
                            </a:xfrm>
                            <a:prstGeom prst="rect">
                              <a:avLst/>
                            </a:prstGeom>
                            <a:noFill/>
                            <a:ln w="9525">
                              <a:noFill/>
                              <a:headEnd/>
                              <a:tailEnd/>
                            </a:ln>
                          </pic:spPr>
                        </pic:pic>
                      </a:graphicData>
                    </a:graphic>
                  </wp:inline>
                </w:drawing>
              </w:r>
            </w:hyperlink>
          </w:p>
        </w:tc>
      </w:tr>
    </w:tbl>
    <w:p>
      <w:pPr>
        <w:pStyle w:val="ImageCaption"/>
      </w:pPr>
      <w:r>
        <w:t xml:space="preserve">Market Baseline-Employers</w:t>
      </w:r>
    </w:p>
    <w:p>
      <w:pPr>
        <w:pStyle w:val="BodyText"/>
      </w:pPr>
      <w:r>
        <w:t xml:space="preserve">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9" name="Picture"/>
                    <a:graphic>
                      <a:graphicData uri="http://schemas.openxmlformats.org/drawingml/2006/picture">
                        <pic:pic>
                          <pic:nvPicPr>
                            <pic:cNvPr descr="figures/market_baseline/location_patterns.png" id="20" name="Picture"/>
                            <pic:cNvPicPr>
                              <a:picLocks noChangeArrowheads="1" noChangeAspect="1"/>
                            </pic:cNvPicPr>
                          </pic:nvPicPr>
                          <pic:blipFill>
                            <a:blip r:embed="rId18"/>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45499"/>
                    <wp:effectExtent b="0" l="0" r="0" t="0"/>
                    <wp:docPr descr="" title="" id="22" name="Picture"/>
                    <a:graphic>
                      <a:graphicData uri="http://schemas.openxmlformats.org/drawingml/2006/picture">
                        <pic:pic>
                          <pic:nvPicPr>
                            <pic:cNvPr descr="figures/market_baseline/remote_onsite_patterns.png" id="23" name="Picture"/>
                            <pic:cNvPicPr>
                              <a:picLocks noChangeArrowheads="1" noChangeAspect="1"/>
                            </pic:cNvPicPr>
                          </pic:nvPicPr>
                          <pic:blipFill>
                            <a:blip r:embed="rId21"/>
                            <a:stretch>
                              <a:fillRect/>
                            </a:stretch>
                          </pic:blipFill>
                          <pic:spPr bwMode="auto">
                            <a:xfrm>
                              <a:off x="0" y="0"/>
                              <a:ext cx="5334000" cy="3645499"/>
                            </a:xfrm>
                            <a:prstGeom prst="rect">
                              <a:avLst/>
                            </a:prstGeom>
                            <a:noFill/>
                            <a:ln w="9525">
                              <a:noFill/>
                              <a:headEnd/>
                              <a:tailEnd/>
                            </a:ln>
                          </pic:spPr>
                        </pic:pic>
                      </a:graphicData>
                    </a:graphic>
                  </wp:inline>
                </w:drawing>
              </w:r>
            </w:hyperlink>
          </w:p>
        </w:tc>
      </w:tr>
    </w:tbl>
    <w:p>
      <w:pPr>
        <w:pStyle w:val="ImageCaption"/>
      </w:pPr>
      <w:r>
        <w:t xml:space="preserve">Market Baseline-Remote vs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25" name="Picture"/>
                    <a:graphic>
                      <a:graphicData uri="http://schemas.openxmlformats.org/drawingml/2006/picture">
                        <pic:pic>
                          <pic:nvPicPr>
                            <pic:cNvPr descr="figures/market_baseline/salary_distribution.png" id="26" name="Picture"/>
                            <pic:cNvPicPr>
                              <a:picLocks noChangeArrowheads="1" noChangeAspect="1"/>
                            </pic:cNvPicPr>
                          </pic:nvPicPr>
                          <pic:blipFill>
                            <a:blip r:embed="rId24"/>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28" name="Picture"/>
                    <a:graphic>
                      <a:graphicData uri="http://schemas.openxmlformats.org/drawingml/2006/picture">
                        <pic:pic>
                          <pic:nvPicPr>
                            <pic:cNvPr descr="figures/market_baseline/experience_distribution.png" id="29" name="Picture"/>
                            <pic:cNvPicPr>
                              <a:picLocks noChangeArrowheads="1" noChangeAspect="1"/>
                            </pic:cNvPicPr>
                          </pic:nvPicPr>
                          <pic:blipFill>
                            <a:blip r:embed="rId27"/>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30"/>
    <w:bookmarkStart w:id="47"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job postings. Excel and Python each appeared in 5 postings, although the team demonstrated stronger proficiency in Excel than Python.</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810000"/>
                    <wp:effectExtent b="0" l="0" r="0" t="0"/>
                    <wp:docPr descr="" title="" id="32" name="Picture"/>
                    <a:graphic>
                      <a:graphicData uri="http://schemas.openxmlformats.org/drawingml/2006/picture">
                        <pic:pic>
                          <pic:nvPicPr>
                            <pic:cNvPr descr="figures/skill_gap_analysis/top_skills.png" id="33" name="Picture"/>
                            <pic:cNvPicPr>
                              <a:picLocks noChangeArrowheads="1" noChangeAspect="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The team rated itself strongest in Excel (4.25) and Data Analysis (4.0), and weakest in Power BI (2.75), Python (2.75), and Digital Marketing (2.75).</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429000"/>
                    <wp:effectExtent b="0" l="0" r="0" t="0"/>
                    <wp:docPr descr="" title="" id="36" name="Picture"/>
                    <a:graphic>
                      <a:graphicData uri="http://schemas.openxmlformats.org/drawingml/2006/picture">
                        <pic:pic>
                          <pic:nvPicPr>
                            <pic:cNvPr descr="figures/skill_gap_analysis/team_skill_heatmap.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Skill Gap-Team Heatmap</w:t>
      </w:r>
    </w:p>
    <w:p>
      <w:pPr>
        <w:pStyle w:val="BodyText"/>
      </w:pPr>
      <w:r>
        <w:t xml:space="preserve">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39" name="Picture"/>
                    <a:graphic>
                      <a:graphicData uri="http://schemas.openxmlformats.org/drawingml/2006/picture">
                        <pic:pic>
                          <pic:nvPicPr>
                            <pic:cNvPr descr="figures/skill_gap_analysis/team_average_proficiency.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Gap-Average Proficiency</w:t>
      </w:r>
    </w:p>
    <w:p>
      <w:pPr>
        <w:pStyle w:val="BodyText"/>
      </w:pPr>
      <w:r>
        <w:t xml:space="preserve">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42" name="Picture"/>
                    <a:graphic>
                      <a:graphicData uri="http://schemas.openxmlformats.org/drawingml/2006/picture">
                        <pic:pic>
                          <pic:nvPicPr>
                            <pic:cNvPr descr="figures/skill_gap_analysis/skill_gap_diverging.png" id="43" name="Picture"/>
                            <pic:cNvPicPr>
                              <a:picLocks noChangeArrowheads="1" noChangeAspect="1"/>
                            </pic:cNvPicPr>
                          </pic:nvPicPr>
                          <pic:blipFill>
                            <a:blip r:embed="rId41"/>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Gap-Priority Diverging Chart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2388911"/>
                    <wp:effectExtent b="0" l="0" r="0" t="0"/>
                    <wp:docPr descr="" title="" id="45" name="Picture"/>
                    <a:graphic>
                      <a:graphicData uri="http://schemas.openxmlformats.org/drawingml/2006/picture">
                        <pic:pic>
                          <pic:nvPicPr>
                            <pic:cNvPr descr="figures/skill_gap_analysis/skill_gap_summary.png" id="46" name="Picture"/>
                            <pic:cNvPicPr>
                              <a:picLocks noChangeArrowheads="1" noChangeAspect="1"/>
                            </pic:cNvPicPr>
                          </pic:nvPicPr>
                          <pic:blipFill>
                            <a:blip r:embed="rId44"/>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47"/>
    <w:bookmarkStart w:id="48" w:name="career-evaluation"/>
    <w:p>
      <w:pPr>
        <w:pStyle w:val="Heading1"/>
      </w:pPr>
      <w:r>
        <w:t xml:space="preserve">5. Career Evaluation</w:t>
      </w:r>
    </w:p>
    <w:p>
      <w:pPr>
        <w:pStyle w:val="FirstParagraph"/>
      </w:pPr>
      <w:r>
        <w:t xml:space="preserve">The 19 postings in our filtered dataset do not represent equally strong opportunities for this team, so we evaluate them on three factors: attainability, skill relevance, and employer signal. Experience requirements are not evenly spread: 17 of the 19 postings list a minimum of 0 years of experience, and only 2 list a 5-year minimum, so accessibility is mostly uniform with a couple of high-bar outliers. Skill relevance separates the postings more clearly. We counted how many of the team’s four strongest self-rated skills (Data Analysis, Microsoft Excel, Stakeholder Management, Project Management) show up in each posting’s listed skills, and found 8 of the 19 postings match none of them, 7 match exactly one, and 4 match two; not a single posting matches three or four. Employer signal is also concentrated: Vuori accounts for 5 of the 19 postings, TJX accounts for 5, and Adidas accounts for 3, so together those three employers make up 13 of 19 postings, or 68 percent, while the remaining six employers in the sample post once each. These three factors feed directly into the Opportunity Scorecard below.</w:t>
      </w:r>
    </w:p>
    <w:bookmarkEnd w:id="48"/>
    <w:bookmarkStart w:id="53" w:name="final-analytics"/>
    <w:p>
      <w:pPr>
        <w:pStyle w:val="Heading1"/>
      </w:pPr>
      <w:r>
        <w:t xml:space="preserve">6.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FigureTable"/>
        <w:tblW w:type="auto" w:w="0"/>
        <w:jc w:val="center"/>
        <w:tblLook w:firstRow="0" w:lastRow="0" w:firstColumn="0" w:lastColumn="0"/>
      </w:tblPr>
      <w:tblGrid>
        <w:gridCol w:w="7920"/>
      </w:tblGrid>
      <w:tr>
        <w:tc>
          <w:tcPr/>
          <w:p>
            <w:pPr>
              <w:pStyle w:val="Compact"/>
              <w:jc w:val="center"/>
            </w:pPr>
            <w:hyperlink r:id="rId52">
              <w:r>
                <w:drawing>
                  <wp:inline>
                    <wp:extent cx="5334000" cy="3522251"/>
                    <wp:effectExtent b="0" l="0" r="0" t="0"/>
                    <wp:docPr descr="" title="" id="50" name="Picture"/>
                    <a:graphic>
                      <a:graphicData uri="http://schemas.openxmlformats.org/drawingml/2006/picture">
                        <pic:pic>
                          <pic:nvPicPr>
                            <pic:cNvPr descr="figures/opportunity_scorecard/opportunity_scorecard_assessment.png" id="51" name="Picture"/>
                            <pic:cNvPicPr>
                              <a:picLocks noChangeArrowheads="1" noChangeAspect="1"/>
                            </pic:cNvPicPr>
                          </pic:nvPicPr>
                          <pic:blipFill>
                            <a:blip r:embed="rId49"/>
                            <a:stretch>
                              <a:fillRect/>
                            </a:stretch>
                          </pic:blipFill>
                          <pic:spPr bwMode="auto">
                            <a:xfrm>
                              <a:off x="0" y="0"/>
                              <a:ext cx="5334000" cy="3522251"/>
                            </a:xfrm>
                            <a:prstGeom prst="rect">
                              <a:avLst/>
                            </a:prstGeom>
                            <a:noFill/>
                            <a:ln w="9525">
                              <a:noFill/>
                              <a:headEnd/>
                              <a:tailEnd/>
                            </a:ln>
                          </pic:spPr>
                        </pic:pic>
                      </a:graphicData>
                    </a:graphic>
                  </wp:inline>
                </w:drawing>
              </w:r>
            </w:hyperlink>
          </w:p>
        </w:tc>
      </w:tr>
    </w:tbl>
    <w:p>
      <w:pPr>
        <w:pStyle w:val="ImageCaption"/>
      </w:pPr>
      <w:r>
        <w:t xml:space="preserve">Final_Analytics-Assessment</w:t>
      </w:r>
    </w:p>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bookmarkEnd w:id="53"/>
    <w:bookmarkStart w:id="54" w:name="recommendations"/>
    <w:p>
      <w:pPr>
        <w:pStyle w:val="Heading1"/>
      </w:pPr>
      <w:r>
        <w:t xml:space="preserve">7. 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opportunities in California, Massachusetts, and New York. Students should also focus on developing their Power BI and SQL skills, as they are the most in-demand skills.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End w:id="54"/>
    <w:bookmarkStart w:id="55" w:name="limitations"/>
    <w:p>
      <w:pPr>
        <w:pStyle w:val="Heading1"/>
      </w:pPr>
      <w:r>
        <w:t xml:space="preserve">8.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55"/>
    <w:bookmarkStart w:id="56" w:name="team-contributions"/>
    <w:p>
      <w:pPr>
        <w:pStyle w:val="Heading1"/>
      </w:pPr>
      <w:r>
        <w:t xml:space="preserve">9. Team Contributions</w:t>
      </w:r>
    </w:p>
    <w:p>
      <w:pPr>
        <w:pStyle w:val="FirstParagraph"/>
      </w:pPr>
      <w:r>
        <w:t xml:space="preserve">This project was a collaborative effort across all four team members. Each person contributed to data preparation, analysis, website development, and the final report, and the team connected regularly throughout the modules to divide tasks, review each other’s work, and keep the site consistent from page to page. All team members are able to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w:t>
            </w:r>
          </w:p>
        </w:tc>
      </w:tr>
      <w:tr>
        <w:tc>
          <w:tcPr/>
          <w:p>
            <w:pPr>
              <w:pStyle w:val="Compact"/>
            </w:pPr>
            <w:r>
              <w:t xml:space="preserve">Ankita Roy</w:t>
            </w:r>
          </w:p>
        </w:tc>
        <w:tc>
          <w:tcPr/>
          <w:p>
            <w:pPr>
              <w:pStyle w:val="Compact"/>
            </w:pPr>
            <w:r>
              <w:t xml:space="preserve">Data preparation, analysis, and website development</w:t>
            </w:r>
          </w:p>
        </w:tc>
      </w:tr>
      <w:tr>
        <w:tc>
          <w:tcPr/>
          <w:p>
            <w:pPr>
              <w:pStyle w:val="Compact"/>
            </w:pPr>
            <w:r>
              <w:t xml:space="preserve">Zechariah Schweitzer</w:t>
            </w:r>
          </w:p>
        </w:tc>
        <w:tc>
          <w:tcPr/>
          <w:p>
            <w:pPr>
              <w:pStyle w:val="Compact"/>
            </w:pPr>
            <w:r>
              <w:t xml:space="preserve">Data preparation, analysis, and website development</w:t>
            </w:r>
          </w:p>
        </w:tc>
      </w:tr>
      <w:tr>
        <w:tc>
          <w:tcPr/>
          <w:p>
            <w:pPr>
              <w:pStyle w:val="Compact"/>
            </w:pPr>
            <w:r>
              <w:t xml:space="preserve">Sara Scribner</w:t>
            </w:r>
          </w:p>
        </w:tc>
        <w:tc>
          <w:tcPr/>
          <w:p>
            <w:pPr>
              <w:pStyle w:val="Compact"/>
            </w:pPr>
            <w:r>
              <w:t xml:space="preserve">Data preparation, analysis, and website development</w:t>
            </w:r>
          </w:p>
        </w:tc>
      </w:tr>
    </w:tbl>
    <w:bookmarkEnd w:id="56"/>
    <w:bookmarkStart w:id="62" w:name="references"/>
    <w:p>
      <w:pPr>
        <w:pStyle w:val="Heading1"/>
      </w:pPr>
      <w:r>
        <w:t xml:space="preserve">References</w:t>
      </w:r>
    </w:p>
    <w:bookmarkStart w:id="61" w:name="refs"/>
    <w:bookmarkStart w:id="58"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57">
        <w:r>
          <w:rPr>
            <w:rStyle w:val="Hyperlink"/>
          </w:rPr>
          <w:t xml:space="preserve">https://medcraveonline.com/JTEFT/the-roles-of-data-analytics-in-the-fashion-industry.html</w:t>
        </w:r>
      </w:hyperlink>
    </w:p>
    <w:bookmarkEnd w:id="58"/>
    <w:bookmarkStart w:id="60"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59">
        <w:r>
          <w:rPr>
            <w:rStyle w:val="Hyperlink"/>
          </w:rPr>
          <w:t xml:space="preserve">https://www.bls.gov/ooh/business-and-financial/market-research-analysts.htm</w:t>
        </w:r>
      </w:hyperlink>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15" Target="media/rId15.png" /><Relationship Type="http://schemas.openxmlformats.org/officeDocument/2006/relationships/image" Id="rId49" Target="media/rId49.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57" Target="https://medcraveonline.com/JTEFT/the-roles-of-data-analytics-in-the-fashion-industry.html" TargetMode="External" /><Relationship Type="http://schemas.openxmlformats.org/officeDocument/2006/relationships/hyperlink" Id="rId59" Target="https://www.bls.gov/ooh/business-and-financial/market-research-analysts.htm" TargetMode="External" /><Relationship Type="http://schemas.openxmlformats.org/officeDocument/2006/relationships/hyperlink" Id="rId52"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57" Target="https://medcraveonline.com/JTEFT/the-roles-of-data-analytics-in-the-fashion-industry.html" TargetMode="External" /><Relationship Type="http://schemas.openxmlformats.org/officeDocument/2006/relationships/hyperlink" Id="rId59" Target="https://www.bls.gov/ooh/business-and-financial/market-research-analysts.htm" TargetMode="External" /><Relationship Type="http://schemas.openxmlformats.org/officeDocument/2006/relationships/hyperlink" Id="rId52"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2026-10-10T02:40:34Z</dcterms:created>
  <dcterms:modified xsi:type="dcterms:W3CDTF">2026-10-10T02:40:34Z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