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none" w:color="FFFFFF" w:sz="0"/>
              <w:left w:val="none" w:color="FFFFFF" w:sz="0"/>
              <w:bottom w:val="none" w:color="FFFFFF" w:sz="0"/>
              <w:right w:val="none" w:color="FFFFFF" w:sz="0"/>
            </w:tcBorders>
            <w:shd w:fill="0B2040" w:val="clear"/>
            <w:tcMar>
              <w:top w:type="dxa" w:w="160"/>
              <w:left w:type="dxa" w:w="200"/>
              <w:bottom w:type="dxa" w:w="160"/>
              <w:right w:type="dxa" w:w="200"/>
            </w:tcMar>
            <w:vAlign w:val="center"/>
          </w:tcPr>
          <w:p>
            <w:r>
              <w:rPr>
                <w:rFonts w:ascii="Arial" w:cs="Arial" w:eastAsia="Arial" w:hAnsi="Arial"/>
                <w:b/>
                <w:bCs/>
                <w:color w:val="FFFFFF"/>
                <w:spacing w:val="60"/>
                <w:sz w:val="28"/>
                <w:szCs w:val="28"/>
              </w:rPr>
              <w:t xml:space="preserve">APEX COMPLIANCE CONSULTANCY</w:t>
            </w:r>
          </w:p>
          <w:p>
            <w:r>
              <w:rPr>
                <w:rFonts w:ascii="Arial" w:cs="Arial" w:eastAsia="Arial" w:hAnsi="Arial"/>
                <w:i/>
                <w:iCs/>
                <w:color w:val="F5E6B8"/>
                <w:sz w:val="18"/>
                <w:szCs w:val="18"/>
              </w:rPr>
              <w:t xml:space="preserve">ZE Compliance Development &amp; Consultancy</w:t>
            </w:r>
          </w:p>
        </w:tc>
        <w:tc>
          <w:tcPr>
            <w:tcBorders>
              <w:top w:val="none" w:color="FFFFFF" w:sz="0"/>
              <w:left w:val="none" w:color="FFFFFF" w:sz="0"/>
              <w:bottom w:val="none" w:color="FFFFFF" w:sz="0"/>
              <w:right w:val="none" w:color="FFFFFF" w:sz="0"/>
            </w:tcBorders>
            <w:shd w:fill="0B2040" w:val="clear"/>
            <w:tcMar>
              <w:top w:type="dxa" w:w="160"/>
              <w:left w:type="dxa" w:w="200"/>
              <w:bottom w:type="dxa" w:w="160"/>
              <w:right w:type="dxa" w:w="200"/>
            </w:tcMar>
            <w:vAlign w:val="center"/>
          </w:tcPr>
          <w:p>
            <w:pPr>
              <w:jc w:val="right"/>
            </w:pPr>
            <w:r>
              <w:rPr>
                <w:rFonts w:ascii="Arial" w:cs="Arial" w:eastAsia="Arial" w:hAnsi="Arial"/>
                <w:color w:val="C9A84C"/>
                <w:spacing w:val="40"/>
                <w:sz w:val="16"/>
                <w:szCs w:val="16"/>
              </w:rPr>
              <w:t xml:space="preserve">PROPOSAL IN RESPONSE TO RFP</w:t>
            </w:r>
          </w:p>
          <w:p>
            <w:pPr>
              <w:jc w:val="right"/>
            </w:pPr>
            <w:r>
              <w:rPr>
                <w:rFonts w:ascii="Arial" w:cs="Arial" w:eastAsia="Arial" w:hAnsi="Arial"/>
                <w:b/>
                <w:bCs/>
                <w:color w:val="FFFFFF"/>
                <w:sz w:val="20"/>
                <w:szCs w:val="20"/>
              </w:rPr>
              <w:t xml:space="preserve">Invest International B.V.</w:t>
            </w:r>
          </w:p>
          <w:p>
            <w:pPr>
              <w:jc w:val="right"/>
            </w:pPr>
            <w:r>
              <w:rPr>
                <w:rFonts w:ascii="Arial" w:cs="Arial" w:eastAsia="Arial" w:hAnsi="Arial"/>
                <w:i/>
                <w:iCs/>
                <w:color w:val="F5E6B8"/>
                <w:sz w:val="17"/>
                <w:szCs w:val="17"/>
              </w:rPr>
              <w:t xml:space="preserve">26 February 2026 RFP — AMLR Gap Analysis &amp; Policy Update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C9A84C"/>
                <w:spacing w:val="60"/>
                <w:sz w:val="16"/>
                <w:szCs w:val="16"/>
              </w:rPr>
              <w:t xml:space="preserve">DATE SUBMITTED</w:t>
            </w:r>
          </w:p>
          <w:p>
            <w:r>
              <w:rPr>
                <w:rFonts w:ascii="Arial" w:cs="Arial" w:eastAsia="Arial" w:hAnsi="Arial"/>
                <w:b/>
                <w:bCs/>
                <w:color w:val="1A2540"/>
                <w:sz w:val="20"/>
                <w:szCs w:val="20"/>
              </w:rPr>
              <w:t xml:space="preserve">5 March 2026</w:t>
            </w:r>
          </w:p>
        </w:tc>
        <w:tc>
          <w:tcPr>
            <w:tcW w:type="dxa" w:w="312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C9A84C"/>
                <w:spacing w:val="60"/>
                <w:sz w:val="16"/>
                <w:szCs w:val="16"/>
              </w:rPr>
              <w:t xml:space="preserve">SUBMITTED TO</w:t>
            </w:r>
          </w:p>
          <w:p>
            <w:r>
              <w:rPr>
                <w:rFonts w:ascii="Arial" w:cs="Arial" w:eastAsia="Arial" w:hAnsi="Arial"/>
                <w:color w:val="1A2540"/>
                <w:sz w:val="20"/>
                <w:szCs w:val="20"/>
              </w:rPr>
              <w:t xml:space="preserve">Eleni Tremoulaki, Procurement Officer</w:t>
            </w:r>
          </w:p>
          <w:p>
            <w:r>
              <w:rPr>
                <w:rFonts w:ascii="Arial" w:cs="Arial" w:eastAsia="Arial" w:hAnsi="Arial"/>
                <w:color w:val="4A5A78"/>
                <w:sz w:val="19"/>
                <w:szCs w:val="19"/>
              </w:rPr>
              <w:t xml:space="preserve">procurement@investinternational.nl</w:t>
            </w:r>
          </w:p>
        </w:tc>
        <w:tc>
          <w:tcPr>
            <w:tcW w:type="dxa" w:w="312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C9A84C"/>
                <w:spacing w:val="60"/>
                <w:sz w:val="16"/>
                <w:szCs w:val="16"/>
              </w:rPr>
              <w:t xml:space="preserve">SUBMITTED BY</w:t>
            </w:r>
          </w:p>
          <w:p>
            <w:r>
              <w:rPr>
                <w:rFonts w:ascii="Arial" w:cs="Arial" w:eastAsia="Arial" w:hAnsi="Arial"/>
                <w:b/>
                <w:bCs/>
                <w:color w:val="1A2540"/>
                <w:sz w:val="20"/>
                <w:szCs w:val="20"/>
              </w:rPr>
              <w:t xml:space="preserve">Zack ElMoussaoui</w:t>
            </w:r>
          </w:p>
          <w:p>
            <w:r>
              <w:rPr>
                <w:rFonts w:ascii="Arial" w:cs="Arial" w:eastAsia="Arial" w:hAnsi="Arial"/>
                <w:color w:val="4A5A78"/>
                <w:sz w:val="19"/>
                <w:szCs w:val="19"/>
              </w:rPr>
              <w:t xml:space="preserve">zecomplianceconsultancy@gmail.com</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Borders>
              <w:top w:val="none" w:color="FFFFFF" w:sz="0"/>
              <w:left w:val="none" w:color="FFFFFF" w:sz="0"/>
              <w:bottom w:val="none" w:color="FFFFFF" w:sz="0"/>
              <w:right w:val="none" w:color="FFFFFF" w:sz="0"/>
            </w:tcBorders>
            <w:shd w:fill="EDF2F8" w:val="clear"/>
            <w:tcMar>
              <w:top w:type="dxa" w:w="180"/>
              <w:left w:type="dxa" w:w="220"/>
              <w:bottom w:type="dxa" w:w="180"/>
              <w:right w:type="dxa" w:w="220"/>
            </w:tcMar>
          </w:tcPr>
          <w:p>
            <w:pPr>
              <w:spacing w:after="80"/>
            </w:pPr>
            <w:r>
              <w:rPr>
                <w:rFonts w:ascii="Arial" w:cs="Arial" w:eastAsia="Arial" w:hAnsi="Arial"/>
                <w:b/>
                <w:bCs/>
                <w:color w:val="0B2040"/>
                <w:spacing w:val="80"/>
                <w:sz w:val="18"/>
                <w:szCs w:val="18"/>
              </w:rPr>
              <w:t xml:space="preserve">EXECUTIVE SUMMARY</w:t>
            </w:r>
          </w:p>
          <w:p>
            <w:pPr>
              <w:spacing w:after="80"/>
            </w:pPr>
            <w:r>
              <w:rPr>
                <w:rFonts w:ascii="Arial" w:cs="Arial" w:eastAsia="Arial" w:hAnsi="Arial"/>
                <w:color w:val="4A5A78"/>
                <w:sz w:val="20"/>
                <w:szCs w:val="20"/>
              </w:rPr>
              <w:t xml:space="preserve">Apex Compliance Consultancy offers Invest International a fixed-price, fully scoped delivery of the three AMLR-ready documents requested — the Updated AML Policy, General KYC Procedure, and Public KYC Procedure — together with practical DDC integration advice and supervisory expectation guidance, at a total fee of </w:t>
            </w:r>
            <w:r>
              <w:rPr>
                <w:rFonts w:ascii="Arial" w:cs="Arial" w:eastAsia="Arial" w:hAnsi="Arial"/>
                <w:b/>
                <w:bCs/>
                <w:color w:val="1A2540"/>
                <w:sz w:val="20"/>
                <w:szCs w:val="20"/>
              </w:rPr>
              <w:t xml:space="preserve">€12,500 exclusive of VAT</w:t>
            </w:r>
            <w:r>
              <w:rPr>
                <w:rFonts w:ascii="Arial" w:cs="Arial" w:eastAsia="Arial" w:hAnsi="Arial"/>
                <w:color w:val="4A5A78"/>
                <w:sz w:val="20"/>
                <w:szCs w:val="20"/>
              </w:rPr>
              <w:t xml:space="preserve">, all-in. All deliverables will be in final, Board-ready format, delivered no later than July 2026.</w:t>
            </w:r>
          </w:p>
          <w:p>
            <w:pPr>
              <w:spacing w:after="0"/>
            </w:pPr>
            <w:r>
              <w:rPr>
                <w:rFonts w:ascii="Arial" w:cs="Arial" w:eastAsia="Arial" w:hAnsi="Arial"/>
                <w:color w:val="4A5A78"/>
                <w:sz w:val="20"/>
                <w:szCs w:val="20"/>
              </w:rPr>
              <w:t xml:space="preserve">The consultant brings 17+ years of hands-on AML/CFT programme delivery at Dutch financial institutions — including direct DFI sector experience at FMO — with deep practitioner knowledge of WWFT-to-AMLR transposition, Dutch supervisory expectations, and KYC policy architecture at the level of complexity Invest International's mandate demands.</w:t>
            </w:r>
          </w:p>
        </w:tc>
      </w:tr>
    </w:tbl>
    <w:p>
      <w:pPr>
        <w:spacing w:after="400"/>
      </w:pPr>
      <w:r>
        <w:t xml:space="preserve"/>
      </w:r>
    </w:p>
    <w:p>
      <w:pPr>
        <w:pBdr>
          <w:bottom w:val="single" w:color="0B2040" w:sz="4" w:space="2"/>
        </w:pBdr>
        <w:spacing w:before="320" w:after="120"/>
      </w:pPr>
      <w:r>
        <w:rPr>
          <w:rFonts w:ascii="Arial" w:cs="Arial" w:eastAsia="Arial" w:hAnsi="Arial"/>
          <w:b/>
          <w:bCs/>
          <w:color w:val="0B2040"/>
          <w:sz w:val="22"/>
          <w:szCs w:val="22"/>
        </w:rPr>
        <w:t xml:space="preserve">1. Understanding of the Assignment</w:t>
      </w:r>
    </w:p>
    <w:p>
      <w:pPr>
        <w:spacing w:before="0" w:after="80"/>
        <w:jc w:val="left"/>
      </w:pPr>
      <w:r>
        <w:rPr>
          <w:rFonts w:ascii="Arial" w:cs="Arial" w:eastAsia="Arial" w:hAnsi="Arial"/>
          <w:b w:val="false"/>
          <w:bCs w:val="false"/>
          <w:i w:val="false"/>
          <w:iCs w:val="false"/>
          <w:color w:val="4A5A78"/>
          <w:sz w:val="20"/>
          <w:szCs w:val="20"/>
        </w:rPr>
        <w:t xml:space="preserve">Invest International is undertaking a focused, time-bound project to assess and close the gap between its current WWFT-based AML/KYC framework and the requirements of EU Regulation 2024/1624 (AMLR), with the objective of full compliance by mid-2026. The assignment requires an expert who can work efficiently within an existing framework, incorporate internal project team comments and prior external findings, and deliver polished, Board-ready documentation across three core instruments.</w:t>
      </w:r>
    </w:p>
    <w:p>
      <w:pPr>
        <w:spacing w:before="0" w:after="80"/>
        <w:jc w:val="left"/>
      </w:pPr>
      <w:r>
        <w:rPr>
          <w:rFonts w:ascii="Arial" w:cs="Arial" w:eastAsia="Arial" w:hAnsi="Arial"/>
          <w:b w:val="false"/>
          <w:bCs w:val="false"/>
          <w:i w:val="false"/>
          <w:iCs w:val="false"/>
          <w:color w:val="4A5A78"/>
          <w:sz w:val="20"/>
          <w:szCs w:val="20"/>
        </w:rPr>
        <w:t xml:space="preserve">The scope is well-defined, and Invest International's objectives are clear. What the assignment requires is not generic compliance drafting — it requires a practitioner with direct experience of Dutch supervisory expectations for development finance institutions, deep familiarity with DFI-specific counterparty risk profiles (SOEs, government entities, project finance vehicles in emerging markets), and the policy architecture experience to translate AMLR's technical standards into documents that are operationally workable within Invest International's KYC workflow and DDC tool.</w:t>
      </w:r>
    </w:p>
    <w:p>
      <w:pPr>
        <w:spacing w:after="120"/>
      </w:pPr>
      <w:r>
        <w:t xml:space="preserve"/>
      </w:r>
    </w:p>
    <w:p>
      <w:pPr>
        <w:pBdr>
          <w:bottom w:val="single" w:color="0B2040" w:sz="4" w:space="2"/>
        </w:pBdr>
        <w:spacing w:before="320" w:after="120"/>
      </w:pPr>
      <w:r>
        <w:rPr>
          <w:rFonts w:ascii="Arial" w:cs="Arial" w:eastAsia="Arial" w:hAnsi="Arial"/>
          <w:b/>
          <w:bCs/>
          <w:color w:val="0B2040"/>
          <w:sz w:val="22"/>
          <w:szCs w:val="22"/>
        </w:rPr>
        <w:t xml:space="preserve">2. Proposed Approach &amp; Project Roadmap</w:t>
      </w:r>
    </w:p>
    <w:p>
      <w:pPr>
        <w:spacing w:before="240" w:after="80"/>
      </w:pPr>
      <w:r>
        <w:rPr>
          <w:rFonts w:ascii="Arial" w:cs="Arial" w:eastAsia="Arial" w:hAnsi="Arial"/>
          <w:b/>
          <w:bCs/>
          <w:color w:val="C9A84C"/>
          <w:spacing w:val="80"/>
          <w:sz w:val="16"/>
          <w:szCs w:val="16"/>
        </w:rPr>
        <w:t xml:space="preserve">DELIVERABLES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DELIVERABLE</w:t>
            </w:r>
          </w:p>
        </w:tc>
        <w:tc>
          <w:tcPr>
            <w:tcW w:type="dxa" w:w="456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APPROACH &amp; CONTENT</w:t>
            </w:r>
          </w:p>
        </w:tc>
        <w:tc>
          <w:tcPr>
            <w:tcW w:type="dxa" w:w="26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STANDARD / FORMAT</w:t>
            </w:r>
          </w:p>
        </w:tc>
      </w:tr>
      <w:tr>
        <w:tc>
          <w:tcPr>
            <w:tcW w:type="dxa" w:w="22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Updated AML Policy</w:t>
            </w:r>
          </w:p>
        </w:tc>
        <w:tc>
          <w:tcPr>
            <w:tcW w:type="dxa" w:w="45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Full WWFT-to-AMLR regulatory transposition. DFI-specific provisions for SOE, PEP-as-structural-norm, project finance, and emerging market UBO challenges. Supervisory expectation assessment and AMLR exemption applicability analysis included.</w:t>
            </w:r>
          </w:p>
        </w:tc>
        <w:tc>
          <w:tcPr>
            <w:tcW w:type="dxa" w:w="26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Board-ready format. AMLR-aligned structure. DNB/AFM examination-ready.</w:t>
            </w:r>
          </w:p>
        </w:tc>
      </w:tr>
      <w:tr>
        <w:tc>
          <w:tcPr>
            <w:tcW w:type="dxa" w:w="22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bCs/>
                <w:color w:val="0B2040"/>
                <w:sz w:val="19"/>
                <w:szCs w:val="19"/>
              </w:rPr>
              <w:t xml:space="preserve">Updated General KYC Procedure</w:t>
            </w:r>
          </w:p>
        </w:tc>
        <w:tc>
          <w:tcPr>
            <w:tcW w:type="dxa" w:w="456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Revised CDD/EDD triggers, escalation matrix, monitoring obligations, and DDC workflow integration. Alignment with AMLR RTS as published at time of delivery. Internal comments from project team incorporated.</w:t>
            </w:r>
          </w:p>
        </w:tc>
        <w:tc>
          <w:tcPr>
            <w:tcW w:type="dxa" w:w="26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Board-ready format. Operational procedure standard. DDC-compatible.</w:t>
            </w:r>
          </w:p>
        </w:tc>
      </w:tr>
      <w:tr>
        <w:tc>
          <w:tcPr>
            <w:tcW w:type="dxa" w:w="22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Updated Public KYC Procedure</w:t>
            </w:r>
          </w:p>
        </w:tc>
        <w:tc>
          <w:tcPr>
            <w:tcW w:type="dxa" w:w="45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External-facing counterparty requirements document updated for AMLR. Aligned to revised General KYC Procedure. DFI-appropriate transparency standards reflecting Invest International's counterparty profile.</w:t>
            </w:r>
          </w:p>
        </w:tc>
        <w:tc>
          <w:tcPr>
            <w:tcW w:type="dxa" w:w="26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Board-ready format. Counterparty-facing register. Aligned to internal procedure.</w:t>
            </w:r>
          </w:p>
        </w:tc>
      </w:tr>
    </w:tbl>
    <w:p>
      <w:pPr>
        <w:spacing w:after="240"/>
      </w:pPr>
      <w:r>
        <w:t xml:space="preserve"/>
      </w:r>
    </w:p>
    <w:p>
      <w:pPr>
        <w:spacing w:before="240" w:after="80"/>
      </w:pPr>
      <w:r>
        <w:rPr>
          <w:rFonts w:ascii="Arial" w:cs="Arial" w:eastAsia="Arial" w:hAnsi="Arial"/>
          <w:b/>
          <w:bCs/>
          <w:color w:val="C9A84C"/>
          <w:spacing w:val="80"/>
          <w:sz w:val="16"/>
          <w:szCs w:val="16"/>
        </w:rPr>
        <w:t xml:space="preserve">ADDITIONAL SCOPE ELEMENTS</w:t>
      </w:r>
    </w:p>
    <w:p>
      <w:pPr>
        <w:pStyle w:val="ListParagraph"/>
        <w:numPr>
          <w:ilvl w:val="0"/>
          <w:numId w:val="2"/>
        </w:numPr>
        <w:spacing w:before="0" w:after="60"/>
      </w:pPr>
      <w:r>
        <w:rPr>
          <w:rFonts w:ascii="Arial" w:cs="Arial" w:eastAsia="Arial" w:hAnsi="Arial"/>
          <w:b/>
          <w:bCs/>
          <w:color w:val="1A2540"/>
          <w:sz w:val="20"/>
          <w:szCs w:val="20"/>
        </w:rPr>
        <w:t xml:space="preserve">DDC Integration Advice: </w:t>
      </w:r>
      <w:r>
        <w:rPr>
          <w:rFonts w:ascii="Arial" w:cs="Arial" w:eastAsia="Arial" w:hAnsi="Arial"/>
          <w:color w:val="4A5A78"/>
          <w:sz w:val="20"/>
          <w:szCs w:val="20"/>
        </w:rPr>
        <w:t xml:space="preserve">Following review of Invest International's Due Diligence Center tool and its current workflow integration, practical implementation notes will be provided with each updated procedure — covering how the revised CDD/EDD triggers, escalation paths, and monitoring obligations translate into DDC workflow configuration. These notes will be structured so that they are actionable by Invest International's internal team without further specialist input.</w:t>
      </w:r>
    </w:p>
    <w:p>
      <w:pPr>
        <w:pStyle w:val="ListParagraph"/>
        <w:numPr>
          <w:ilvl w:val="0"/>
          <w:numId w:val="2"/>
        </w:numPr>
        <w:spacing w:before="0" w:after="60"/>
      </w:pPr>
      <w:r>
        <w:rPr>
          <w:rFonts w:ascii="Arial" w:cs="Arial" w:eastAsia="Arial" w:hAnsi="Arial"/>
          <w:b/>
          <w:bCs/>
          <w:color w:val="1A2540"/>
          <w:sz w:val="20"/>
          <w:szCs w:val="20"/>
        </w:rPr>
        <w:t xml:space="preserve">Supervisory Expectations &amp; AMLR Exemptions: </w:t>
      </w:r>
      <w:r>
        <w:rPr>
          <w:rFonts w:ascii="Arial" w:cs="Arial" w:eastAsia="Arial" w:hAnsi="Arial"/>
          <w:color w:val="4A5A78"/>
          <w:sz w:val="20"/>
          <w:szCs w:val="20"/>
        </w:rPr>
        <w:t xml:space="preserve">The updated AML Policy will include a dedicated section assessing DNB and AFM supervisory expectations as they apply to Invest International's specific risk profile and mandate. Where AMLR exemptions may be applicable — including Article 6 exemptions available to certain public bodies and development finance institutions — a structured assessment will be prepared covering applicability, substantiation requirements, and the process for requesting regulatory confirmation where relevant.</w:t>
      </w:r>
    </w:p>
    <w:p>
      <w:pPr>
        <w:spacing w:after="240"/>
      </w:pPr>
      <w:r>
        <w:t xml:space="preserve"/>
      </w:r>
    </w:p>
    <w:p>
      <w:pPr>
        <w:spacing w:before="240" w:after="80"/>
      </w:pPr>
      <w:r>
        <w:rPr>
          <w:rFonts w:ascii="Arial" w:cs="Arial" w:eastAsia="Arial" w:hAnsi="Arial"/>
          <w:b/>
          <w:bCs/>
          <w:color w:val="C9A84C"/>
          <w:spacing w:val="80"/>
          <w:sz w:val="16"/>
          <w:szCs w:val="16"/>
        </w:rPr>
        <w:t xml:space="preserve">PROJECT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660"/>
        <w:gridCol w:w="2000"/>
      </w:tblGrid>
      <w:tr>
        <w:tc>
          <w:tcPr>
            <w:tcW w:type="dxa" w:w="13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PHASE</w:t>
            </w:r>
          </w:p>
        </w:tc>
        <w:tc>
          <w:tcPr>
            <w:tcW w:type="dxa" w:w="24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TIMING</w:t>
            </w:r>
          </w:p>
        </w:tc>
        <w:tc>
          <w:tcPr>
            <w:tcW w:type="dxa" w:w="366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ACTIVITIES</w:t>
            </w:r>
          </w:p>
        </w:tc>
        <w:tc>
          <w:tcPr>
            <w:tcW w:type="dxa" w:w="20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MILESTONE</w:t>
            </w:r>
          </w:p>
        </w:tc>
      </w:tr>
      <w:tr>
        <w:tc>
          <w:tcPr>
            <w:tcW w:type="dxa" w:w="13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Phase 1</w:t>
            </w:r>
          </w:p>
        </w:tc>
        <w:tc>
          <w:tcPr>
            <w:tcW w:type="dxa" w:w="24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March 2026 — intro meeting (date TBD)</w:t>
            </w:r>
          </w:p>
        </w:tc>
        <w:tc>
          <w:tcPr>
            <w:tcW w:type="dxa" w:w="36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Introductory session at Invest International office. Review of existing framework documents, internal project team comments, and prior external findings. Agree final scope, workplan, and document review protocol with named internal POC.</w:t>
            </w:r>
          </w:p>
        </w:tc>
        <w:tc>
          <w:tcPr>
            <w:tcW w:type="dxa" w:w="20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Signed engagement. Agreed workplan. Document access confirmed.</w:t>
            </w:r>
          </w:p>
        </w:tc>
      </w:tr>
      <w:tr>
        <w:tc>
          <w:tcPr>
            <w:tcW w:type="dxa" w:w="13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bCs/>
                <w:color w:val="0B2040"/>
                <w:sz w:val="19"/>
                <w:szCs w:val="19"/>
              </w:rPr>
              <w:t xml:space="preserve">Phase 2</w:t>
            </w:r>
          </w:p>
        </w:tc>
        <w:tc>
          <w:tcPr>
            <w:tcW w:type="dxa" w:w="24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April 2026 — 2x in-person working sessions</w:t>
            </w:r>
          </w:p>
        </w:tc>
        <w:tc>
          <w:tcPr>
            <w:tcW w:type="dxa" w:w="366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Structured gap analysis: WWFT vs AMLR mapping per document. Two in-person sessions with relevant departments. DDC workflow review. Supervisory expectation assessment and AMLR exemption analysis. Draft versions of all three documents for project team review.</w:t>
            </w:r>
          </w:p>
        </w:tc>
        <w:tc>
          <w:tcPr>
            <w:tcW w:type="dxa" w:w="20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Gap analysis delivered. Draft documents with project team. Mid-milestone review confirmed.</w:t>
            </w:r>
          </w:p>
        </w:tc>
      </w:tr>
      <w:tr>
        <w:tc>
          <w:tcPr>
            <w:tcW w:type="dxa" w:w="13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Phase 3</w:t>
            </w:r>
          </w:p>
        </w:tc>
        <w:tc>
          <w:tcPr>
            <w:tcW w:type="dxa" w:w="24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May–June 2026 — consolidated revisions</w:t>
            </w:r>
          </w:p>
        </w:tc>
        <w:tc>
          <w:tcPr>
            <w:tcW w:type="dxa" w:w="36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One round of consolidated written feedback per document incorporated. Bi-weekly progress calls. Final DDC integration notes and supervisory guidance memo prepared. Documents refined to Board-ready standard.</w:t>
            </w:r>
          </w:p>
        </w:tc>
        <w:tc>
          <w:tcPr>
            <w:tcW w:type="dxa" w:w="20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Near-final documents. DDC integration memo. Progress meetings per agreed schedule.</w:t>
            </w:r>
          </w:p>
        </w:tc>
      </w:tr>
      <w:tr>
        <w:tc>
          <w:tcPr>
            <w:tcW w:type="dxa" w:w="13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bCs/>
                <w:color w:val="0B2040"/>
                <w:sz w:val="19"/>
                <w:szCs w:val="19"/>
              </w:rPr>
              <w:t xml:space="preserve">Phase 4</w:t>
            </w:r>
          </w:p>
        </w:tc>
        <w:tc>
          <w:tcPr>
            <w:tcW w:type="dxa" w:w="24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July 2026 — final delivery</w:t>
            </w:r>
          </w:p>
        </w:tc>
        <w:tc>
          <w:tcPr>
            <w:tcW w:type="dxa" w:w="366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Final versions of all three documents submitted in Board-ready format. Sign-off session with project team. Delivery of any outstanding advisory notes. Acceptance by Invest International.</w:t>
            </w:r>
          </w:p>
        </w:tc>
        <w:tc>
          <w:tcPr>
            <w:tcW w:type="dxa" w:w="20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Final delivery — all three documents accepted and Board-ready. No later than July 2026.</w:t>
            </w:r>
          </w:p>
        </w:tc>
      </w:tr>
    </w:tbl>
    <w:p>
      <w:pPr>
        <w:spacing w:after="120"/>
      </w:pPr>
      <w:r>
        <w:t xml:space="preserve"/>
      </w:r>
    </w:p>
    <w:p>
      <w:pPr>
        <w:spacing w:before="0" w:after="80"/>
        <w:jc w:val="left"/>
      </w:pPr>
      <w:r>
        <w:rPr>
          <w:rFonts w:ascii="Arial" w:cs="Arial" w:eastAsia="Arial" w:hAnsi="Arial"/>
          <w:b w:val="false"/>
          <w:bCs w:val="false"/>
          <w:i/>
          <w:iCs/>
          <w:color w:val="6A7A98"/>
          <w:sz w:val="20"/>
          <w:szCs w:val="20"/>
        </w:rPr>
        <w:t xml:space="preserve">Scope note: This proposal is based on the assignment as described in the RFP. All three deliverables assume that existing documentation (current AML Policy, General KYC Procedure, Public KYC Procedure) and prior external findings are made available at the commencement of Phase 1. Should discovery reveal material undocumented elements or significant divergence from current WWFT obligations beyond what the RFP indicates, a brief written options note will be provided before any work beyond the agreed scope is undertaken.</w:t>
      </w:r>
    </w:p>
    <w:p>
      <w:pPr>
        <w:spacing w:after="240"/>
      </w:pPr>
      <w:r>
        <w:t xml:space="preserve"/>
      </w:r>
    </w:p>
    <w:p>
      <w:pPr>
        <w:pBdr>
          <w:bottom w:val="single" w:color="0B2040" w:sz="4" w:space="2"/>
        </w:pBdr>
        <w:spacing w:before="320" w:after="120"/>
      </w:pPr>
      <w:r>
        <w:rPr>
          <w:rFonts w:ascii="Arial" w:cs="Arial" w:eastAsia="Arial" w:hAnsi="Arial"/>
          <w:b/>
          <w:bCs/>
          <w:color w:val="0B2040"/>
          <w:sz w:val="22"/>
          <w:szCs w:val="22"/>
        </w:rPr>
        <w:t xml:space="preserve">3. Fixed Price &amp; Payment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PAYMENT</w:t>
            </w:r>
          </w:p>
        </w:tc>
        <w:tc>
          <w:tcPr>
            <w:tcW w:type="dxa" w:w="356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TRIGGER / MILESTONE</w:t>
            </w:r>
          </w:p>
        </w:tc>
        <w:tc>
          <w:tcPr>
            <w:tcW w:type="dxa" w:w="2600"/>
            <w:tcBorders>
              <w:top w:val="none" w:color="FFFFFF" w:sz="0"/>
              <w:left w:val="none" w:color="FFFFFF" w:sz="0"/>
              <w:bottom w:val="none" w:color="FFFFFF" w:sz="0"/>
              <w:right w:val="none" w:color="FFFFFF" w:sz="0"/>
            </w:tcBorders>
            <w:shd w:fill="0B204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AMOUNT (excl. VAT)</w:t>
            </w:r>
          </w:p>
        </w:tc>
      </w:tr>
      <w:tr>
        <w:tc>
          <w:tcPr>
            <w:tcW w:type="dxa" w:w="32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Advance — 10%</w:t>
            </w:r>
          </w:p>
        </w:tc>
        <w:tc>
          <w:tcPr>
            <w:tcW w:type="dxa" w:w="35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Upon contract signature</w:t>
            </w:r>
          </w:p>
        </w:tc>
        <w:tc>
          <w:tcPr>
            <w:tcW w:type="dxa" w:w="26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€ 1,250</w:t>
            </w:r>
          </w:p>
        </w:tc>
      </w:tr>
      <w:tr>
        <w:tc>
          <w:tcPr>
            <w:tcW w:type="dxa" w:w="32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bCs/>
                <w:color w:val="0B2040"/>
                <w:sz w:val="19"/>
                <w:szCs w:val="19"/>
              </w:rPr>
              <w:t xml:space="preserve">Mid-project — 50%</w:t>
            </w:r>
          </w:p>
        </w:tc>
        <w:tc>
          <w:tcPr>
            <w:tcW w:type="dxa" w:w="356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Upon completion of Phase 2: delivery of gap analysis and draft documents to project team</w:t>
            </w:r>
          </w:p>
        </w:tc>
        <w:tc>
          <w:tcPr>
            <w:tcW w:type="dxa" w:w="2600"/>
            <w:tcBorders>
              <w:top w:val="single" w:color="D8DEE8" w:sz="4"/>
              <w:left w:val="single" w:color="D8DEE8" w:sz="4"/>
              <w:bottom w:val="single" w:color="D8DEE8" w:sz="4"/>
              <w:right w:val="single" w:color="D8DEE8" w:sz="4"/>
            </w:tcBorders>
            <w:shd w:fill="FFFFFF" w:val="clear"/>
            <w:tcMar>
              <w:top w:type="dxa" w:w="80"/>
              <w:left w:type="dxa" w:w="140"/>
              <w:bottom w:type="dxa" w:w="80"/>
              <w:right w:type="dxa" w:w="140"/>
            </w:tcMar>
            <w:vAlign w:val="center"/>
          </w:tcPr>
          <w:p>
            <w:r>
              <w:rPr>
                <w:rFonts w:ascii="Arial" w:cs="Arial" w:eastAsia="Arial" w:hAnsi="Arial"/>
                <w:b/>
                <w:bCs/>
                <w:color w:val="0B2040"/>
                <w:sz w:val="19"/>
                <w:szCs w:val="19"/>
              </w:rPr>
              <w:t xml:space="preserve">€ 6,250</w:t>
            </w:r>
          </w:p>
        </w:tc>
      </w:tr>
      <w:tr>
        <w:tc>
          <w:tcPr>
            <w:tcW w:type="dxa" w:w="32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Final — 40%</w:t>
            </w:r>
          </w:p>
        </w:tc>
        <w:tc>
          <w:tcPr>
            <w:tcW w:type="dxa" w:w="356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val="false"/>
                <w:bCs w:val="false"/>
                <w:color w:val="4A5A78"/>
                <w:sz w:val="19"/>
                <w:szCs w:val="19"/>
              </w:rPr>
              <w:t xml:space="preserve">Upon final delivery and acceptance of all three Board-ready documents</w:t>
            </w:r>
          </w:p>
        </w:tc>
        <w:tc>
          <w:tcPr>
            <w:tcW w:type="dxa" w:w="2600"/>
            <w:tcBorders>
              <w:top w:val="single" w:color="D8DEE8" w:sz="4"/>
              <w:left w:val="single" w:color="D8DEE8" w:sz="4"/>
              <w:bottom w:val="single" w:color="D8DEE8" w:sz="4"/>
              <w:right w:val="single" w:color="D8DEE8" w:sz="4"/>
            </w:tcBorders>
            <w:shd w:fill="F2F4F8" w:val="clear"/>
            <w:tcMar>
              <w:top w:type="dxa" w:w="80"/>
              <w:left w:type="dxa" w:w="140"/>
              <w:bottom w:type="dxa" w:w="80"/>
              <w:right w:type="dxa" w:w="140"/>
            </w:tcMar>
            <w:vAlign w:val="center"/>
          </w:tcPr>
          <w:p>
            <w:r>
              <w:rPr>
                <w:rFonts w:ascii="Arial" w:cs="Arial" w:eastAsia="Arial" w:hAnsi="Arial"/>
                <w:b/>
                <w:bCs/>
                <w:color w:val="0B2040"/>
                <w:sz w:val="19"/>
                <w:szCs w:val="19"/>
              </w:rPr>
              <w:t xml:space="preserve">€ 5,000</w:t>
            </w:r>
          </w:p>
        </w:tc>
      </w:tr>
      <w:tr>
        <w:tc>
          <w:tcPr>
            <w:tcW w:type="dxa" w:w="3200"/>
            <w:tcBorders>
              <w:top w:val="none" w:color="FFFFFF" w:sz="0"/>
              <w:left w:val="none" w:color="FFFFFF" w:sz="0"/>
              <w:bottom w:val="none" w:color="FFFFFF" w:sz="0"/>
              <w:right w:val="none" w:color="FFFFFF" w:sz="0"/>
            </w:tcBorders>
            <w:shd w:fill="0B2040" w:val="clear"/>
            <w:tcMar>
              <w:top w:type="dxa" w:w="100"/>
              <w:left w:type="dxa" w:w="140"/>
              <w:bottom w:type="dxa" w:w="100"/>
              <w:right w:type="dxa" w:w="140"/>
            </w:tcMar>
          </w:tcPr>
          <w:p>
            <w:r>
              <w:rPr>
                <w:rFonts w:ascii="Arial" w:cs="Arial" w:eastAsia="Arial" w:hAnsi="Arial"/>
                <w:b/>
                <w:bCs/>
                <w:color w:val="FFFFFF"/>
                <w:sz w:val="20"/>
                <w:szCs w:val="20"/>
              </w:rPr>
              <w:t xml:space="preserve">TOTAL FIXED FEE</w:t>
            </w:r>
          </w:p>
        </w:tc>
        <w:tc>
          <w:tcPr>
            <w:tcW w:type="dxa" w:w="3560"/>
            <w:tcBorders>
              <w:top w:val="none" w:color="FFFFFF" w:sz="0"/>
              <w:left w:val="none" w:color="FFFFFF" w:sz="0"/>
              <w:bottom w:val="none" w:color="FFFFFF" w:sz="0"/>
              <w:right w:val="none" w:color="FFFFFF" w:sz="0"/>
            </w:tcBorders>
            <w:shd w:fill="0B2040" w:val="clear"/>
            <w:tcMar>
              <w:top w:type="dxa" w:w="100"/>
              <w:left w:type="dxa" w:w="140"/>
              <w:bottom w:type="dxa" w:w="100"/>
              <w:right w:type="dxa" w:w="140"/>
            </w:tcMar>
          </w:tcPr>
          <w:p>
            <w:r>
              <w:rPr>
                <w:rFonts w:ascii="Arial" w:cs="Arial" w:eastAsia="Arial" w:hAnsi="Arial"/>
                <w:i/>
                <w:iCs/>
                <w:color w:val="F5E6B8"/>
                <w:sz w:val="19"/>
                <w:szCs w:val="19"/>
              </w:rPr>
              <w:t xml:space="preserve">All travel, accommodation, and related costs included. Prices exclusive of VAT.</w:t>
            </w:r>
          </w:p>
        </w:tc>
        <w:tc>
          <w:tcPr>
            <w:tcW w:type="dxa" w:w="2600"/>
            <w:tcBorders>
              <w:top w:val="none" w:color="FFFFFF" w:sz="0"/>
              <w:left w:val="none" w:color="FFFFFF" w:sz="0"/>
              <w:bottom w:val="none" w:color="FFFFFF" w:sz="0"/>
              <w:right w:val="none" w:color="FFFFFF" w:sz="0"/>
            </w:tcBorders>
            <w:shd w:fill="0B2040" w:val="clear"/>
            <w:tcMar>
              <w:top w:type="dxa" w:w="100"/>
              <w:left w:type="dxa" w:w="140"/>
              <w:bottom w:type="dxa" w:w="100"/>
              <w:right w:type="dxa" w:w="140"/>
            </w:tcMar>
          </w:tcPr>
          <w:p>
            <w:r>
              <w:rPr>
                <w:rFonts w:ascii="Arial" w:cs="Arial" w:eastAsia="Arial" w:hAnsi="Arial"/>
                <w:b/>
                <w:bCs/>
                <w:color w:val="C9A84C"/>
                <w:sz w:val="24"/>
                <w:szCs w:val="24"/>
              </w:rPr>
              <w:t xml:space="preserve">€ 12,500</w:t>
            </w:r>
          </w:p>
        </w:tc>
      </w:tr>
    </w:tbl>
    <w:p>
      <w:pPr>
        <w:spacing w:after="120"/>
      </w:pPr>
      <w:r>
        <w:t xml:space="preserve"/>
      </w:r>
    </w:p>
    <w:p>
      <w:pPr>
        <w:spacing w:before="0" w:after="80"/>
        <w:jc w:val="left"/>
      </w:pPr>
      <w:r>
        <w:rPr>
          <w:rFonts w:ascii="Arial" w:cs="Arial" w:eastAsia="Arial" w:hAnsi="Arial"/>
          <w:b/>
          <w:bCs/>
          <w:i w:val="false"/>
          <w:iCs w:val="false"/>
          <w:color w:val="1A2540"/>
          <w:sz w:val="20"/>
          <w:szCs w:val="20"/>
        </w:rPr>
        <w:t xml:space="preserve">Invoicing: </w:t>
      </w:r>
      <w:r>
        <w:rPr>
          <w:rFonts w:ascii="Arial" w:cs="Arial" w:eastAsia="Arial" w:hAnsi="Arial"/>
          <w:b w:val="false"/>
          <w:bCs w:val="false"/>
          <w:i w:val="false"/>
          <w:iCs w:val="false"/>
          <w:color w:val="4A5A78"/>
          <w:sz w:val="20"/>
          <w:szCs w:val="20"/>
        </w:rPr>
        <w:t xml:space="preserve">E-invoices submitted as PDF by email, in accordance with Invest International's invoicing requirements. All amounts exclusive of BTW (VAT). Payment terms as per ARVODI 2025.</w:t>
      </w:r>
    </w:p>
    <w:p>
      <w:pPr>
        <w:spacing w:after="240"/>
      </w:pPr>
      <w:r>
        <w:t xml:space="preserve"/>
      </w:r>
    </w:p>
    <w:p>
      <w:pPr>
        <w:pBdr>
          <w:bottom w:val="single" w:color="0B2040" w:sz="4" w:space="2"/>
        </w:pBdr>
        <w:spacing w:before="320" w:after="120"/>
      </w:pPr>
      <w:r>
        <w:rPr>
          <w:rFonts w:ascii="Arial" w:cs="Arial" w:eastAsia="Arial" w:hAnsi="Arial"/>
          <w:b/>
          <w:bCs/>
          <w:color w:val="0B2040"/>
          <w:sz w:val="22"/>
          <w:szCs w:val="22"/>
        </w:rPr>
        <w:t xml:space="preserve">4. Consultant Profile &amp; Contact Details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
        <w:gridCol w:w="5960"/>
      </w:tblGrid>
      <w:tr>
        <w:tc>
          <w:tcPr>
            <w:tcW w:type="dxa" w:w="3200"/>
            <w:tcBorders>
              <w:top w:val="none" w:color="FFFFFF" w:sz="0"/>
              <w:left w:val="none" w:color="FFFFFF" w:sz="0"/>
              <w:bottom w:val="none" w:color="FFFFFF" w:sz="0"/>
              <w:right w:val="none" w:color="FFFFFF" w:sz="0"/>
            </w:tcBorders>
            <w:shd w:fill="F2F4F8" w:val="clear"/>
            <w:tcMar>
              <w:top w:type="dxa" w:w="200"/>
              <w:left w:type="dxa" w:w="200"/>
              <w:bottom w:type="dxa" w:w="200"/>
              <w:right w:type="dxa" w:w="200"/>
            </w:tcMar>
            <w:vAlign w:val="top"/>
          </w:tcPr>
          <w:p>
            <w:pPr>
              <w:spacing w:after="60"/>
            </w:pPr>
            <w:r>
              <w:rPr>
                <w:rFonts w:ascii="Arial" w:cs="Arial" w:eastAsia="Arial" w:hAnsi="Arial"/>
                <w:b/>
                <w:bCs/>
                <w:color w:val="0B2040"/>
                <w:sz w:val="22"/>
                <w:szCs w:val="22"/>
              </w:rPr>
              <w:t xml:space="preserve">ZACK ELMOUSSAOUI</w:t>
            </w:r>
          </w:p>
          <w:p>
            <w:pPr>
              <w:spacing w:after="120"/>
            </w:pPr>
            <w:r>
              <w:rPr>
                <w:rFonts w:ascii="Arial" w:cs="Arial" w:eastAsia="Arial" w:hAnsi="Arial"/>
                <w:b/>
                <w:bCs/>
                <w:color w:val="C9A84C"/>
                <w:sz w:val="19"/>
                <w:szCs w:val="19"/>
              </w:rPr>
              <w:t xml:space="preserve">Senior FEC &amp; Compliance Consultant</w:t>
            </w:r>
          </w:p>
          <w:p>
            <w:pPr>
              <w:spacing w:after="40"/>
            </w:pPr>
            <w:r>
              <w:rPr>
                <w:rFonts w:ascii="Arial" w:cs="Arial" w:eastAsia="Arial" w:hAnsi="Arial"/>
                <w:i/>
                <w:iCs/>
                <w:color w:val="4A5A78"/>
                <w:sz w:val="18"/>
                <w:szCs w:val="18"/>
              </w:rPr>
              <w:t xml:space="preserve">Apex Compliance Consultancy</w:t>
            </w:r>
          </w:p>
          <w:p>
            <w:pPr>
              <w:spacing w:after="160"/>
            </w:pPr>
            <w:r>
              <w:rPr>
                <w:rFonts w:ascii="Arial" w:cs="Arial" w:eastAsia="Arial" w:hAnsi="Arial"/>
                <w:i/>
                <w:iCs/>
                <w:color w:val="4A5A78"/>
                <w:sz w:val="17"/>
                <w:szCs w:val="17"/>
              </w:rPr>
              <w:t xml:space="preserve">ZE Compliance Development &amp; Consultancy</w:t>
            </w:r>
          </w:p>
          <w:p>
            <w:pPr>
              <w:spacing w:after="40"/>
            </w:pPr>
            <w:r>
              <w:rPr>
                <w:rFonts w:ascii="Arial" w:cs="Arial" w:eastAsia="Arial" w:hAnsi="Arial"/>
                <w:color w:val="0B2040"/>
                <w:sz w:val="18"/>
                <w:szCs w:val="18"/>
              </w:rPr>
              <w:t xml:space="preserve">zecomplianceconsultancy@gmail.com</w:t>
            </w:r>
          </w:p>
          <w:p>
            <w:pPr>
              <w:spacing w:after="160"/>
            </w:pPr>
            <w:r>
              <w:rPr>
                <w:rFonts w:ascii="Arial" w:cs="Arial" w:eastAsia="Arial" w:hAnsi="Arial"/>
                <w:color w:val="4A5A78"/>
                <w:sz w:val="18"/>
                <w:szCs w:val="18"/>
              </w:rPr>
              <w:t xml:space="preserve">The Hague, Netherlands</w:t>
            </w:r>
          </w:p>
          <w:p>
            <w:pPr>
              <w:spacing w:after="40"/>
            </w:pPr>
            <w:r>
              <w:rPr>
                <w:rFonts w:ascii="Arial" w:cs="Arial" w:eastAsia="Arial" w:hAnsi="Arial"/>
                <w:b/>
                <w:bCs/>
                <w:color w:val="C9A84C"/>
                <w:spacing w:val="60"/>
                <w:sz w:val="17"/>
                <w:szCs w:val="17"/>
              </w:rPr>
              <w:t xml:space="preserve">AVAILABLE IMMEDIATELY</w:t>
            </w:r>
          </w:p>
          <w:p>
            <w:r>
              <w:rPr>
                <w:rFonts w:ascii="Arial" w:cs="Arial" w:eastAsia="Arial" w:hAnsi="Arial"/>
                <w:i/>
                <w:iCs/>
                <w:color w:val="4A5A78"/>
                <w:sz w:val="17"/>
                <w:szCs w:val="17"/>
              </w:rPr>
              <w:t xml:space="preserve">KvK registered · VOG applicable in context of financial services</w:t>
            </w:r>
          </w:p>
        </w:tc>
        <w:tc>
          <w:tcPr>
            <w:tcW w:type="dxa" w:w="20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5960"/>
            <w:tcBorders>
              <w:top w:val="none" w:color="FFFFFF" w:sz="0"/>
              <w:left w:val="none" w:color="FFFFFF" w:sz="0"/>
              <w:bottom w:val="none" w:color="FFFFFF" w:sz="0"/>
              <w:right w:val="none" w:color="FFFFFF" w:sz="0"/>
            </w:tcBorders>
            <w:shd w:fill="FFFFFF" w:val="clear"/>
            <w:tcMar>
              <w:top w:type="dxa" w:w="200"/>
              <w:left w:type="dxa" w:w="220"/>
              <w:bottom w:type="dxa" w:w="200"/>
              <w:right w:type="dxa" w:w="200"/>
            </w:tcMar>
            <w:vAlign w:val="top"/>
          </w:tcPr>
          <w:p>
            <w:pPr>
              <w:spacing w:after="100"/>
            </w:pPr>
            <w:r>
              <w:rPr>
                <w:rFonts w:ascii="Arial" w:cs="Arial" w:eastAsia="Arial" w:hAnsi="Arial"/>
                <w:b/>
                <w:bCs/>
                <w:color w:val="0B2040"/>
                <w:sz w:val="19"/>
                <w:szCs w:val="19"/>
              </w:rPr>
              <w:t xml:space="preserve">Relevant Experience</w:t>
            </w:r>
          </w:p>
          <w:p>
            <w:pPr>
              <w:spacing w:after="120"/>
            </w:pPr>
            <w:r>
              <w:rPr>
                <w:rFonts w:ascii="Arial" w:cs="Arial" w:eastAsia="Arial" w:hAnsi="Arial"/>
                <w:color w:val="4A5A78"/>
                <w:sz w:val="19"/>
                <w:szCs w:val="19"/>
              </w:rPr>
              <w:t xml:space="preserve">17+ years of AML/CFT programme delivery at Dutch systemically important institutions and development finance — spanning the full implementation spectrum from CDD/EDD architecture and policy design to Big Four outsourcing management and Board-level compliance reporting.</w:t>
            </w:r>
          </w:p>
          <w:p>
            <w:pPr>
              <w:spacing w:after="120"/>
            </w:pPr>
            <w:r>
              <w:rPr>
                <w:rFonts w:ascii="Arial" w:cs="Arial" w:eastAsia="Arial" w:hAnsi="Arial"/>
                <w:b/>
                <w:bCs/>
                <w:color w:val="1A2540"/>
                <w:sz w:val="19"/>
                <w:szCs w:val="19"/>
              </w:rPr>
              <w:t xml:space="preserve">Institutions:</w:t>
            </w:r>
            <w:r>
              <w:rPr>
                <w:rFonts w:ascii="Arial" w:cs="Arial" w:eastAsia="Arial" w:hAnsi="Arial"/>
                <w:color w:val="4A5A78"/>
                <w:sz w:val="19"/>
                <w:szCs w:val="19"/>
              </w:rPr>
              <w:t xml:space="preserve"> Rabobank · ING Bank N.V. · FMO (direct DFI experience) · LeasePlan · Ayvens (Société Générale Group) · KPN</w:t>
            </w:r>
          </w:p>
          <w:p>
            <w:pPr>
              <w:spacing w:after="120"/>
            </w:pPr>
            <w:r>
              <w:rPr>
                <w:rFonts w:ascii="Arial" w:cs="Arial" w:eastAsia="Arial" w:hAnsi="Arial"/>
                <w:b/>
                <w:bCs/>
                <w:color w:val="1A2540"/>
                <w:sz w:val="19"/>
                <w:szCs w:val="19"/>
              </w:rPr>
              <w:t xml:space="preserve">Core competencies:</w:t>
            </w:r>
            <w:r>
              <w:rPr>
                <w:rFonts w:ascii="Arial" w:cs="Arial" w:eastAsia="Arial" w:hAnsi="Arial"/>
                <w:color w:val="4A5A78"/>
                <w:sz w:val="19"/>
                <w:szCs w:val="19"/>
              </w:rPr>
              <w:t xml:space="preserve"> WWFT/AMLR policy transposition · KYC Policy &amp; Procedure design (L1–L3) · CDD/EDD for DFI counterparty profiles · SIRA/RAS methodology · Transaction monitoring calibration · Supervisory engagement (DNB/AFM/JST) · AMLR regulatory calendar management</w:t>
            </w:r>
          </w:p>
          <w:p>
            <w:r>
              <w:rPr>
                <w:rFonts w:ascii="Arial" w:cs="Arial" w:eastAsia="Arial" w:hAnsi="Arial"/>
                <w:b/>
                <w:bCs/>
                <w:color w:val="1A2540"/>
                <w:sz w:val="19"/>
                <w:szCs w:val="19"/>
              </w:rPr>
              <w:t xml:space="preserve">DFI sector:</w:t>
            </w:r>
            <w:r>
              <w:rPr>
                <w:rFonts w:ascii="Arial" w:cs="Arial" w:eastAsia="Arial" w:hAnsi="Arial"/>
                <w:color w:val="4A5A78"/>
                <w:sz w:val="19"/>
                <w:szCs w:val="19"/>
              </w:rPr>
              <w:t xml:space="preserve"> Direct experience at FMO — the most relevant Dutch benchmark for Invest International's compliance architecture — providing direct insight into DNB's supervisory expectations for DFIs and the elevated framework standard required relative to commercial banks.</w:t>
            </w:r>
          </w:p>
        </w:tc>
      </w:tr>
    </w:tbl>
    <w:p>
      <w:pPr>
        <w:spacing w:after="240"/>
      </w:pPr>
      <w:r>
        <w:t xml:space="preserve"/>
      </w:r>
    </w:p>
    <w:p>
      <w:pPr>
        <w:pBdr>
          <w:bottom w:val="single" w:color="0B2040" w:sz="4" w:space="2"/>
        </w:pBdr>
        <w:spacing w:before="320" w:after="120"/>
      </w:pPr>
      <w:r>
        <w:rPr>
          <w:rFonts w:ascii="Arial" w:cs="Arial" w:eastAsia="Arial" w:hAnsi="Arial"/>
          <w:b/>
          <w:bCs/>
          <w:color w:val="0B2040"/>
          <w:sz w:val="22"/>
          <w:szCs w:val="22"/>
        </w:rPr>
        <w:t xml:space="preserve">5. Administrative &amp; Compliance Confirmations</w:t>
      </w:r>
    </w:p>
    <w:p>
      <w:pPr>
        <w:pStyle w:val="ListParagraph"/>
        <w:numPr>
          <w:ilvl w:val="0"/>
          <w:numId w:val="2"/>
        </w:numPr>
        <w:spacing w:before="0" w:after="60"/>
      </w:pPr>
      <w:r>
        <w:rPr>
          <w:rFonts w:ascii="Arial" w:cs="Arial" w:eastAsia="Arial" w:hAnsi="Arial"/>
          <w:b/>
          <w:bCs/>
          <w:color w:val="1A2540"/>
          <w:sz w:val="20"/>
          <w:szCs w:val="20"/>
        </w:rPr>
        <w:t xml:space="preserve">Availability: </w:t>
      </w:r>
      <w:r>
        <w:rPr>
          <w:rFonts w:ascii="Arial" w:cs="Arial" w:eastAsia="Arial" w:hAnsi="Arial"/>
          <w:color w:val="4A5A78"/>
          <w:sz w:val="20"/>
          <w:szCs w:val="20"/>
        </w:rPr>
        <w:t xml:space="preserve">Available to commence the assignment immediately upon contract award. Introductory meeting at Invest International's The Hague office can be confirmed for any date in March 2026.</w:t>
      </w:r>
    </w:p>
    <w:p>
      <w:pPr>
        <w:pStyle w:val="ListParagraph"/>
        <w:numPr>
          <w:ilvl w:val="0"/>
          <w:numId w:val="2"/>
        </w:numPr>
        <w:spacing w:before="0" w:after="60"/>
      </w:pPr>
      <w:r>
        <w:rPr>
          <w:rFonts w:ascii="Arial" w:cs="Arial" w:eastAsia="Arial" w:hAnsi="Arial"/>
          <w:b/>
          <w:bCs/>
          <w:color w:val="1A2540"/>
          <w:sz w:val="20"/>
          <w:szCs w:val="20"/>
        </w:rPr>
        <w:t xml:space="preserve">VOG: </w:t>
      </w:r>
      <w:r>
        <w:rPr>
          <w:rFonts w:ascii="Arial" w:cs="Arial" w:eastAsia="Arial" w:hAnsi="Arial"/>
          <w:color w:val="4A5A78"/>
          <w:sz w:val="20"/>
          <w:szCs w:val="20"/>
        </w:rPr>
        <w:t xml:space="preserve">A Certificate of Good Conduct (VOG) will be applied for in the context of financial services immediately upon contract award, in accordance with the RFP requirements.</w:t>
      </w:r>
    </w:p>
    <w:p>
      <w:pPr>
        <w:pStyle w:val="ListParagraph"/>
        <w:numPr>
          <w:ilvl w:val="0"/>
          <w:numId w:val="2"/>
        </w:numPr>
        <w:spacing w:before="0" w:after="60"/>
      </w:pPr>
      <w:r>
        <w:rPr>
          <w:rFonts w:ascii="Arial" w:cs="Arial" w:eastAsia="Arial" w:hAnsi="Arial"/>
          <w:b/>
          <w:bCs/>
          <w:color w:val="1A2540"/>
          <w:sz w:val="20"/>
          <w:szCs w:val="20"/>
        </w:rPr>
        <w:t xml:space="preserve">AVG / Processing Agreement: </w:t>
      </w:r>
      <w:r>
        <w:rPr>
          <w:rFonts w:ascii="Arial" w:cs="Arial" w:eastAsia="Arial" w:hAnsi="Arial"/>
          <w:color w:val="4A5A78"/>
          <w:sz w:val="20"/>
          <w:szCs w:val="20"/>
        </w:rPr>
        <w:t xml:space="preserve">Prepared to sign Invest International's processing agreement (verwerkersovereenkomst) upon receipt of order confirmation, in accordance with the RFP terms.</w:t>
      </w:r>
    </w:p>
    <w:p>
      <w:pPr>
        <w:pStyle w:val="ListParagraph"/>
        <w:numPr>
          <w:ilvl w:val="0"/>
          <w:numId w:val="2"/>
        </w:numPr>
        <w:spacing w:before="0" w:after="60"/>
      </w:pPr>
      <w:r>
        <w:rPr>
          <w:rFonts w:ascii="Arial" w:cs="Arial" w:eastAsia="Arial" w:hAnsi="Arial"/>
          <w:b/>
          <w:bCs/>
          <w:color w:val="1A2540"/>
          <w:sz w:val="20"/>
          <w:szCs w:val="20"/>
        </w:rPr>
        <w:t xml:space="preserve">ARVODI 2025: </w:t>
      </w:r>
      <w:r>
        <w:rPr>
          <w:rFonts w:ascii="Arial" w:cs="Arial" w:eastAsia="Arial" w:hAnsi="Arial"/>
          <w:color w:val="4A5A78"/>
          <w:sz w:val="20"/>
          <w:szCs w:val="20"/>
        </w:rPr>
        <w:t xml:space="preserve">This proposal is submitted with full awareness that the assignment is subject to ARVODI 2025. Noted that Invest International's general terms and conditions prevail and that the consultant's own terms and conditions are explicitly excluded.</w:t>
      </w:r>
    </w:p>
    <w:p>
      <w:pPr>
        <w:pStyle w:val="ListParagraph"/>
        <w:numPr>
          <w:ilvl w:val="0"/>
          <w:numId w:val="2"/>
        </w:numPr>
        <w:spacing w:before="0" w:after="60"/>
      </w:pPr>
      <w:r>
        <w:rPr>
          <w:rFonts w:ascii="Arial" w:cs="Arial" w:eastAsia="Arial" w:hAnsi="Arial"/>
          <w:b/>
          <w:bCs/>
          <w:color w:val="1A2540"/>
          <w:sz w:val="20"/>
          <w:szCs w:val="20"/>
        </w:rPr>
        <w:t xml:space="preserve">Travel &amp; Accommodation: </w:t>
      </w:r>
      <w:r>
        <w:rPr>
          <w:rFonts w:ascii="Arial" w:cs="Arial" w:eastAsia="Arial" w:hAnsi="Arial"/>
          <w:color w:val="4A5A78"/>
          <w:sz w:val="20"/>
          <w:szCs w:val="20"/>
        </w:rPr>
        <w:t xml:space="preserve">All travel and accommodation costs associated with the assignment — including the introductory meeting in March, the two in-person working sessions in April, and any subsequent in-person progress meetings — are included in the fixed fee of €12,500 and will not be invoiced separately.</w:t>
      </w:r>
    </w:p>
    <w:p>
      <w:pPr>
        <w:pStyle w:val="ListParagraph"/>
        <w:numPr>
          <w:ilvl w:val="0"/>
          <w:numId w:val="2"/>
        </w:numPr>
        <w:spacing w:before="0" w:after="60"/>
      </w:pPr>
      <w:r>
        <w:rPr>
          <w:rFonts w:ascii="Arial" w:cs="Arial" w:eastAsia="Arial" w:hAnsi="Arial"/>
          <w:b/>
          <w:bCs/>
          <w:color w:val="1A2540"/>
          <w:sz w:val="20"/>
          <w:szCs w:val="20"/>
        </w:rPr>
        <w:t xml:space="preserve">Cancellation: </w:t>
      </w:r>
      <w:r>
        <w:rPr>
          <w:rFonts w:ascii="Arial" w:cs="Arial" w:eastAsia="Arial" w:hAnsi="Arial"/>
          <w:color w:val="4A5A78"/>
          <w:sz w:val="20"/>
          <w:szCs w:val="20"/>
        </w:rPr>
        <w:t xml:space="preserve">Noted that Invest International reserves the right to suspend or terminate this process in the event of unforeseen circumstances, with no costs chargeable to Invest International for proposal preparation.</w:t>
      </w:r>
    </w:p>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0"/>
              <w:left w:val="none" w:color="FFFFFF" w:sz="0"/>
              <w:bottom w:val="none" w:color="FFFFFF" w:sz="0"/>
              <w:right w:val="none" w:color="FFFFFF" w:sz="0"/>
            </w:tcBorders>
            <w:shd w:fill="F2F4F8" w:val="clear"/>
            <w:tcMar>
              <w:top w:type="dxa" w:w="180"/>
              <w:left w:type="dxa" w:w="220"/>
              <w:bottom w:type="dxa" w:w="180"/>
              <w:right w:type="dxa" w:w="220"/>
            </w:tcMar>
          </w:tcPr>
          <w:p>
            <w:pPr>
              <w:spacing w:after="120"/>
            </w:pPr>
            <w:r>
              <w:rPr>
                <w:rFonts w:ascii="Arial" w:cs="Arial" w:eastAsia="Arial" w:hAnsi="Arial"/>
                <w:i/>
                <w:iCs/>
                <w:color w:val="4A5A78"/>
                <w:sz w:val="20"/>
                <w:szCs w:val="20"/>
              </w:rPr>
              <w:t xml:space="preserve">We welcome the opportunity to contribute to Invest International's AMLR readiness and look forward to a productive conversation. Please do not hesitate to reach out for any further clarification ahead of the submission deadline.</w:t>
            </w:r>
          </w:p>
          <w:p>
            <w:r>
              <w:rPr>
                <w:rFonts w:ascii="Arial" w:cs="Arial" w:eastAsia="Arial" w:hAnsi="Arial"/>
                <w:b/>
                <w:bCs/>
                <w:color w:val="0B2040"/>
                <w:sz w:val="20"/>
                <w:szCs w:val="20"/>
              </w:rPr>
              <w:t xml:space="preserve">Zack ElMoussaoui  ·  Apex Compliance Consultancy  ·  zecomplianceconsultancy@gmail.com</w:t>
            </w:r>
          </w:p>
        </w:tc>
      </w:tr>
    </w:tbl>
    <w:sectPr>
      <w:footerReference w:type="default" r:id="rId6"/>
      <w:pgSz w:w="11906" w:h="16838" w:orient="portrait"/>
      <w:pgMar w:top="8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4A5A78"/>
        <w:sz w:val="16"/>
        <w:szCs w:val="16"/>
      </w:rPr>
      <w:t xml:space="preserve">Apex Compliance Consultancy (ZE Compliance Development &amp; Consultancy)  ·  The Hague, Netherlands  ·  zecomplianceconsultancy@gmail.com  ·  KvK registered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color w:val="C9A84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2026-03-05T14:22:40.617Z</dcterms:created>
  <dcterms:modified xsi:type="dcterms:W3CDTF">2026-03-05T14:22:40.618Z</dcterms:modified>
</cp:coreProperties>
</file>

<file path=docProps/custom.xml><?xml version="1.0" encoding="utf-8"?>
<Properties xmlns="http://schemas.openxmlformats.org/officeDocument/2006/custom-properties" xmlns:vt="http://schemas.openxmlformats.org/officeDocument/2006/docPropsVTypes"/>
</file>